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Spec="center" w:tblpY="421"/>
        <w:tblW w:w="1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1"/>
      </w:tblGrid>
      <w:tr w:rsidR="00317C65" w14:paraId="05C36459" w14:textId="77777777" w:rsidTr="0011697D">
        <w:trPr>
          <w:trHeight w:val="2536"/>
        </w:trPr>
        <w:tc>
          <w:tcPr>
            <w:tcW w:w="11281" w:type="dxa"/>
          </w:tcPr>
          <w:p w14:paraId="06D07273" w14:textId="544967D7" w:rsidR="00317C65" w:rsidRDefault="003B0E8F" w:rsidP="00317C65">
            <w:r>
              <w:rPr>
                <w:noProof/>
              </w:rPr>
              <w:drawing>
                <wp:inline distT="0" distB="0" distL="0" distR="0" wp14:anchorId="1F218317" wp14:editId="7D596CF3">
                  <wp:extent cx="6984873" cy="1600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4873" cy="1600200"/>
                          </a:xfrm>
                          <a:prstGeom prst="rect">
                            <a:avLst/>
                          </a:prstGeom>
                        </pic:spPr>
                      </pic:pic>
                    </a:graphicData>
                  </a:graphic>
                </wp:inline>
              </w:drawing>
            </w:r>
          </w:p>
        </w:tc>
      </w:tr>
    </w:tbl>
    <w:p w14:paraId="73CD2405" w14:textId="1B267916" w:rsidR="00317C65" w:rsidRDefault="00317C65"/>
    <w:tbl>
      <w:tblPr>
        <w:tblStyle w:val="TableGrid"/>
        <w:tblpPr w:leftFromText="180" w:rightFromText="180" w:vertAnchor="page" w:horzAnchor="page" w:tblpX="496" w:tblpY="3676"/>
        <w:tblW w:w="11186" w:type="dxa"/>
        <w:tblBorders>
          <w:top w:val="none" w:sz="0" w:space="0" w:color="auto"/>
          <w:left w:val="none" w:sz="0" w:space="0" w:color="auto"/>
          <w:bottom w:val="none" w:sz="0" w:space="0" w:color="auto"/>
          <w:right w:val="none" w:sz="0" w:space="0" w:color="auto"/>
          <w:insideH w:val="thinThickSmallGap" w:sz="24" w:space="0" w:color="44546A" w:themeColor="text2"/>
          <w:insideV w:val="none" w:sz="0" w:space="0" w:color="auto"/>
        </w:tblBorders>
        <w:tblLook w:val="04A0" w:firstRow="1" w:lastRow="0" w:firstColumn="1" w:lastColumn="0" w:noHBand="0" w:noVBand="1"/>
      </w:tblPr>
      <w:tblGrid>
        <w:gridCol w:w="11186"/>
      </w:tblGrid>
      <w:tr w:rsidR="003833A3" w:rsidRPr="003833A3" w14:paraId="04FC0B12" w14:textId="77777777" w:rsidTr="0093030D">
        <w:trPr>
          <w:trHeight w:val="396"/>
        </w:trPr>
        <w:tc>
          <w:tcPr>
            <w:tcW w:w="11186" w:type="dxa"/>
          </w:tcPr>
          <w:p w14:paraId="0FE00AB3" w14:textId="77777777" w:rsidR="0069729B" w:rsidRPr="0069729B" w:rsidRDefault="0069729B" w:rsidP="0069729B">
            <w:pPr>
              <w:rPr>
                <w:rFonts w:ascii="Roboto" w:hAnsi="Roboto" w:cs="Calibri"/>
                <w:b/>
                <w:bCs/>
                <w:sz w:val="40"/>
                <w:szCs w:val="40"/>
              </w:rPr>
            </w:pPr>
            <w:r w:rsidRPr="0069729B">
              <w:rPr>
                <w:rFonts w:ascii="Roboto" w:hAnsi="Roboto" w:cs="Calibri"/>
                <w:b/>
                <w:bCs/>
                <w:sz w:val="40"/>
                <w:szCs w:val="40"/>
              </w:rPr>
              <w:t>Board Diversity and Sustainability Reporting: Empirical Evidence from Indonesian Listed Banks</w:t>
            </w:r>
          </w:p>
          <w:p w14:paraId="21072AC1" w14:textId="77777777" w:rsidR="0069729B" w:rsidRPr="00EB0F4E" w:rsidRDefault="0069729B" w:rsidP="0069729B">
            <w:pPr>
              <w:jc w:val="center"/>
              <w:rPr>
                <w:rFonts w:ascii="Calibri" w:hAnsi="Calibri" w:cs="Calibri"/>
                <w:sz w:val="24"/>
                <w:szCs w:val="24"/>
              </w:rPr>
            </w:pPr>
          </w:p>
          <w:p w14:paraId="2AFFEAA8" w14:textId="77777777" w:rsidR="0069729B" w:rsidRPr="0069729B" w:rsidRDefault="0069729B" w:rsidP="0069729B">
            <w:pPr>
              <w:rPr>
                <w:rFonts w:asciiTheme="minorBidi" w:hAnsiTheme="minorBidi"/>
                <w:sz w:val="32"/>
                <w:szCs w:val="32"/>
              </w:rPr>
            </w:pPr>
            <w:proofErr w:type="spellStart"/>
            <w:r w:rsidRPr="0069729B">
              <w:rPr>
                <w:rFonts w:asciiTheme="minorBidi" w:hAnsiTheme="minorBidi"/>
                <w:sz w:val="32"/>
                <w:szCs w:val="32"/>
              </w:rPr>
              <w:t>Prihatnolo</w:t>
            </w:r>
            <w:proofErr w:type="spellEnd"/>
            <w:r w:rsidRPr="0069729B">
              <w:rPr>
                <w:rFonts w:asciiTheme="minorBidi" w:hAnsiTheme="minorBidi"/>
                <w:sz w:val="32"/>
                <w:szCs w:val="32"/>
              </w:rPr>
              <w:t xml:space="preserve"> Gandhi </w:t>
            </w:r>
            <w:proofErr w:type="spellStart"/>
            <w:r w:rsidRPr="0069729B">
              <w:rPr>
                <w:rFonts w:asciiTheme="minorBidi" w:hAnsiTheme="minorBidi"/>
                <w:sz w:val="32"/>
                <w:szCs w:val="32"/>
              </w:rPr>
              <w:t>Amidjaya</w:t>
            </w:r>
            <w:proofErr w:type="spellEnd"/>
            <w:r w:rsidRPr="0069729B">
              <w:rPr>
                <w:rFonts w:asciiTheme="minorBidi" w:hAnsiTheme="minorBidi"/>
                <w:sz w:val="32"/>
                <w:szCs w:val="32"/>
              </w:rPr>
              <w:t xml:space="preserve">, Josephine Tan Hwang </w:t>
            </w:r>
            <w:proofErr w:type="spellStart"/>
            <w:r w:rsidRPr="0069729B">
              <w:rPr>
                <w:rFonts w:asciiTheme="minorBidi" w:hAnsiTheme="minorBidi"/>
                <w:sz w:val="32"/>
                <w:szCs w:val="32"/>
              </w:rPr>
              <w:t>Yau</w:t>
            </w:r>
            <w:proofErr w:type="spellEnd"/>
            <w:r w:rsidRPr="0069729B">
              <w:rPr>
                <w:rFonts w:asciiTheme="minorBidi" w:hAnsiTheme="minorBidi"/>
                <w:sz w:val="32"/>
                <w:szCs w:val="32"/>
              </w:rPr>
              <w:t>, Sharon Choy Sheung Cheuk</w:t>
            </w:r>
          </w:p>
          <w:p w14:paraId="728F7803" w14:textId="311B8084" w:rsidR="00BD55F4" w:rsidRPr="005016DE" w:rsidRDefault="00BD55F4" w:rsidP="001D3E66">
            <w:pPr>
              <w:contextualSpacing/>
              <w:rPr>
                <w:rFonts w:ascii="Arial" w:hAnsi="Arial" w:cs="Arial"/>
                <w:sz w:val="2"/>
                <w:szCs w:val="2"/>
              </w:rPr>
            </w:pPr>
          </w:p>
        </w:tc>
      </w:tr>
      <w:tr w:rsidR="003833A3" w:rsidRPr="003833A3" w14:paraId="79B52C6F" w14:textId="77777777" w:rsidTr="0093030D">
        <w:trPr>
          <w:trHeight w:val="372"/>
        </w:trPr>
        <w:tc>
          <w:tcPr>
            <w:tcW w:w="11186" w:type="dxa"/>
          </w:tcPr>
          <w:p w14:paraId="004868B6" w14:textId="2777FDA0" w:rsidR="003833A3" w:rsidRDefault="003833A3" w:rsidP="003833A3">
            <w:pPr>
              <w:contextualSpacing/>
            </w:pPr>
            <w:r w:rsidRPr="00903B86">
              <w:rPr>
                <w:rFonts w:cs="Arial"/>
                <w:b/>
                <w:sz w:val="24"/>
              </w:rPr>
              <w:t xml:space="preserve">To </w:t>
            </w:r>
            <w:r w:rsidR="00903B86" w:rsidRPr="00903B86">
              <w:rPr>
                <w:rFonts w:cs="Arial"/>
                <w:b/>
                <w:sz w:val="24"/>
              </w:rPr>
              <w:t xml:space="preserve">Link </w:t>
            </w:r>
            <w:r w:rsidRPr="00903B86">
              <w:rPr>
                <w:rFonts w:cs="Arial"/>
                <w:b/>
                <w:sz w:val="24"/>
              </w:rPr>
              <w:t xml:space="preserve">this Article: </w:t>
            </w:r>
            <w:r w:rsidR="003C2D3E" w:rsidRPr="003C2D3E">
              <w:rPr>
                <w:sz w:val="24"/>
                <w:szCs w:val="24"/>
              </w:rPr>
              <w:t>http://dx.doi.org/10.6007/IJAR</w:t>
            </w:r>
            <w:r w:rsidR="006312EA">
              <w:rPr>
                <w:sz w:val="24"/>
                <w:szCs w:val="24"/>
              </w:rPr>
              <w:t>AFM</w:t>
            </w:r>
            <w:r w:rsidR="003C2D3E" w:rsidRPr="003C2D3E">
              <w:rPr>
                <w:sz w:val="24"/>
                <w:szCs w:val="24"/>
              </w:rPr>
              <w:t>S/v</w:t>
            </w:r>
            <w:r w:rsidR="003E0FD0">
              <w:rPr>
                <w:sz w:val="24"/>
                <w:szCs w:val="24"/>
              </w:rPr>
              <w:t>1</w:t>
            </w:r>
            <w:r w:rsidR="008E727D">
              <w:rPr>
                <w:sz w:val="24"/>
                <w:szCs w:val="24"/>
              </w:rPr>
              <w:t>3</w:t>
            </w:r>
            <w:r w:rsidR="003C2D3E" w:rsidRPr="003C2D3E">
              <w:rPr>
                <w:sz w:val="24"/>
                <w:szCs w:val="24"/>
              </w:rPr>
              <w:t>-i</w:t>
            </w:r>
            <w:r w:rsidR="006D61B4">
              <w:rPr>
                <w:sz w:val="24"/>
                <w:szCs w:val="24"/>
              </w:rPr>
              <w:t>2</w:t>
            </w:r>
            <w:r w:rsidR="00042752">
              <w:rPr>
                <w:sz w:val="24"/>
                <w:szCs w:val="24"/>
              </w:rPr>
              <w:t>/</w:t>
            </w:r>
            <w:r w:rsidR="00947872">
              <w:rPr>
                <w:sz w:val="24"/>
                <w:szCs w:val="24"/>
              </w:rPr>
              <w:t>17795</w:t>
            </w:r>
            <w:r w:rsidR="003C2D3E">
              <w:rPr>
                <w:sz w:val="24"/>
                <w:szCs w:val="24"/>
              </w:rPr>
              <w:t xml:space="preserve">     </w:t>
            </w:r>
            <w:r w:rsidR="003F688B">
              <w:rPr>
                <w:sz w:val="24"/>
                <w:szCs w:val="24"/>
              </w:rPr>
              <w:t>DOI:</w:t>
            </w:r>
            <w:r w:rsidR="003C2D3E" w:rsidRPr="007411B9">
              <w:rPr>
                <w:sz w:val="24"/>
                <w:szCs w:val="24"/>
              </w:rPr>
              <w:t>10.6007/</w:t>
            </w:r>
            <w:r w:rsidR="006312EA" w:rsidRPr="003C2D3E">
              <w:rPr>
                <w:sz w:val="24"/>
                <w:szCs w:val="24"/>
              </w:rPr>
              <w:t>IJAR</w:t>
            </w:r>
            <w:r w:rsidR="006312EA">
              <w:rPr>
                <w:sz w:val="24"/>
                <w:szCs w:val="24"/>
              </w:rPr>
              <w:t>AFM</w:t>
            </w:r>
            <w:r w:rsidR="006312EA" w:rsidRPr="003C2D3E">
              <w:rPr>
                <w:sz w:val="24"/>
                <w:szCs w:val="24"/>
              </w:rPr>
              <w:t>S</w:t>
            </w:r>
            <w:r w:rsidR="006312EA" w:rsidRPr="007411B9">
              <w:rPr>
                <w:sz w:val="24"/>
                <w:szCs w:val="24"/>
              </w:rPr>
              <w:t xml:space="preserve"> </w:t>
            </w:r>
            <w:r w:rsidR="003C2D3E" w:rsidRPr="007411B9">
              <w:rPr>
                <w:sz w:val="24"/>
                <w:szCs w:val="24"/>
              </w:rPr>
              <w:t>/v</w:t>
            </w:r>
            <w:r w:rsidR="003E0FD0">
              <w:rPr>
                <w:sz w:val="24"/>
                <w:szCs w:val="24"/>
              </w:rPr>
              <w:t>1</w:t>
            </w:r>
            <w:r w:rsidR="008E727D">
              <w:rPr>
                <w:sz w:val="24"/>
                <w:szCs w:val="24"/>
              </w:rPr>
              <w:t>3</w:t>
            </w:r>
            <w:r w:rsidR="003C2D3E" w:rsidRPr="007411B9">
              <w:rPr>
                <w:sz w:val="24"/>
                <w:szCs w:val="24"/>
              </w:rPr>
              <w:t>-i</w:t>
            </w:r>
            <w:r w:rsidR="006D61B4">
              <w:rPr>
                <w:sz w:val="24"/>
                <w:szCs w:val="24"/>
              </w:rPr>
              <w:t>2</w:t>
            </w:r>
            <w:r w:rsidR="003C2D3E" w:rsidRPr="007411B9">
              <w:rPr>
                <w:sz w:val="24"/>
                <w:szCs w:val="24"/>
              </w:rPr>
              <w:t>/</w:t>
            </w:r>
            <w:r w:rsidR="00947872">
              <w:rPr>
                <w:sz w:val="24"/>
                <w:szCs w:val="24"/>
              </w:rPr>
              <w:t>17795</w:t>
            </w:r>
          </w:p>
          <w:p w14:paraId="54B68911" w14:textId="49594211" w:rsidR="003833A3" w:rsidRPr="003833A3" w:rsidRDefault="003833A3" w:rsidP="003833A3">
            <w:pPr>
              <w:rPr>
                <w:rFonts w:cs="Arial"/>
                <w:b/>
                <w:sz w:val="28"/>
              </w:rPr>
            </w:pPr>
          </w:p>
        </w:tc>
      </w:tr>
      <w:tr w:rsidR="003833A3" w:rsidRPr="003833A3" w14:paraId="234B0667" w14:textId="77777777" w:rsidTr="0093030D">
        <w:trPr>
          <w:trHeight w:val="396"/>
        </w:trPr>
        <w:tc>
          <w:tcPr>
            <w:tcW w:w="11186" w:type="dxa"/>
          </w:tcPr>
          <w:p w14:paraId="68F11E34" w14:textId="38A1BA03" w:rsidR="001452AB" w:rsidRDefault="00A92C98" w:rsidP="001452AB">
            <w:pPr>
              <w:rPr>
                <w:rFonts w:cs="Arial"/>
                <w:sz w:val="24"/>
              </w:rPr>
            </w:pPr>
            <w:r>
              <w:rPr>
                <w:rFonts w:cs="Arial"/>
                <w:b/>
                <w:i/>
                <w:sz w:val="24"/>
              </w:rPr>
              <w:t xml:space="preserve">Received: </w:t>
            </w:r>
            <w:r w:rsidR="00CB6C74" w:rsidRPr="006B651B">
              <w:rPr>
                <w:rFonts w:cs="Arial"/>
                <w:bCs/>
                <w:i/>
                <w:sz w:val="24"/>
              </w:rPr>
              <w:t>1</w:t>
            </w:r>
            <w:r w:rsidR="00947872">
              <w:rPr>
                <w:rFonts w:cs="Arial"/>
                <w:bCs/>
                <w:i/>
                <w:sz w:val="24"/>
              </w:rPr>
              <w:t xml:space="preserve">9 </w:t>
            </w:r>
            <w:r w:rsidR="00947872">
              <w:rPr>
                <w:rFonts w:cs="Arial"/>
                <w:bCs/>
                <w:sz w:val="24"/>
              </w:rPr>
              <w:t xml:space="preserve">May </w:t>
            </w:r>
            <w:r w:rsidR="008E727D">
              <w:rPr>
                <w:rFonts w:cs="Arial"/>
                <w:sz w:val="24"/>
              </w:rPr>
              <w:t>2023</w:t>
            </w:r>
            <w:r w:rsidR="001452AB" w:rsidRPr="00903B86">
              <w:rPr>
                <w:rFonts w:cs="Arial"/>
                <w:i/>
                <w:sz w:val="24"/>
              </w:rPr>
              <w:t xml:space="preserve">, </w:t>
            </w:r>
            <w:proofErr w:type="gramStart"/>
            <w:r w:rsidR="001452AB" w:rsidRPr="00903B86">
              <w:rPr>
                <w:rFonts w:cs="Arial"/>
                <w:b/>
                <w:i/>
                <w:sz w:val="24"/>
              </w:rPr>
              <w:t>Revised</w:t>
            </w:r>
            <w:proofErr w:type="gramEnd"/>
            <w:r w:rsidR="001452AB" w:rsidRPr="00903B86">
              <w:rPr>
                <w:rFonts w:cs="Arial"/>
                <w:b/>
                <w:i/>
                <w:sz w:val="24"/>
              </w:rPr>
              <w:t xml:space="preserve">: </w:t>
            </w:r>
            <w:r w:rsidR="00947872" w:rsidRPr="00947872">
              <w:rPr>
                <w:rFonts w:cs="Arial"/>
                <w:bCs/>
                <w:i/>
                <w:sz w:val="24"/>
              </w:rPr>
              <w:t>22</w:t>
            </w:r>
            <w:r w:rsidR="00947872">
              <w:rPr>
                <w:rFonts w:cs="Arial"/>
                <w:b/>
                <w:i/>
                <w:sz w:val="24"/>
              </w:rPr>
              <w:t xml:space="preserve"> </w:t>
            </w:r>
            <w:r w:rsidR="00947872">
              <w:rPr>
                <w:rFonts w:cs="Arial"/>
                <w:bCs/>
                <w:sz w:val="24"/>
              </w:rPr>
              <w:t>June</w:t>
            </w:r>
            <w:r w:rsidR="006D61B4">
              <w:rPr>
                <w:rFonts w:cs="Arial"/>
                <w:bCs/>
                <w:sz w:val="24"/>
              </w:rPr>
              <w:t xml:space="preserve"> </w:t>
            </w:r>
            <w:r w:rsidR="008E727D">
              <w:rPr>
                <w:rFonts w:cs="Arial"/>
                <w:bCs/>
                <w:sz w:val="24"/>
              </w:rPr>
              <w:t>2023</w:t>
            </w:r>
            <w:r w:rsidR="001452AB" w:rsidRPr="00903B86">
              <w:rPr>
                <w:rFonts w:cs="Arial"/>
                <w:i/>
                <w:sz w:val="24"/>
              </w:rPr>
              <w:t xml:space="preserve">, </w:t>
            </w:r>
            <w:r w:rsidR="001452AB" w:rsidRPr="00903B86">
              <w:rPr>
                <w:rFonts w:cs="Arial"/>
                <w:b/>
                <w:i/>
                <w:sz w:val="24"/>
              </w:rPr>
              <w:t xml:space="preserve">Accepted: </w:t>
            </w:r>
            <w:r w:rsidR="00947872" w:rsidRPr="00947872">
              <w:rPr>
                <w:rFonts w:cs="Arial"/>
                <w:bCs/>
                <w:i/>
                <w:sz w:val="24"/>
              </w:rPr>
              <w:t>10</w:t>
            </w:r>
            <w:r w:rsidR="006D61B4">
              <w:rPr>
                <w:rFonts w:cs="Arial"/>
                <w:bCs/>
                <w:sz w:val="24"/>
              </w:rPr>
              <w:t xml:space="preserve"> </w:t>
            </w:r>
            <w:r w:rsidR="00947872">
              <w:rPr>
                <w:rFonts w:cs="Arial"/>
                <w:bCs/>
                <w:sz w:val="24"/>
              </w:rPr>
              <w:t>July</w:t>
            </w:r>
            <w:r w:rsidR="006D61B4">
              <w:rPr>
                <w:rFonts w:cs="Arial"/>
                <w:bCs/>
                <w:sz w:val="24"/>
              </w:rPr>
              <w:t xml:space="preserve"> </w:t>
            </w:r>
            <w:r w:rsidR="008E727D">
              <w:rPr>
                <w:rFonts w:cs="Arial"/>
                <w:bCs/>
                <w:sz w:val="24"/>
              </w:rPr>
              <w:t>2023</w:t>
            </w:r>
          </w:p>
          <w:p w14:paraId="010B2304" w14:textId="37C057B2" w:rsidR="00C97CAD" w:rsidRPr="003833A3" w:rsidRDefault="00C97CAD" w:rsidP="001452AB">
            <w:pPr>
              <w:rPr>
                <w:rFonts w:cs="Arial"/>
                <w:sz w:val="28"/>
              </w:rPr>
            </w:pPr>
          </w:p>
        </w:tc>
      </w:tr>
      <w:tr w:rsidR="003833A3" w:rsidRPr="003833A3" w14:paraId="227EEB77" w14:textId="77777777" w:rsidTr="0093030D">
        <w:trPr>
          <w:trHeight w:val="372"/>
        </w:trPr>
        <w:tc>
          <w:tcPr>
            <w:tcW w:w="11186" w:type="dxa"/>
          </w:tcPr>
          <w:p w14:paraId="228EE9E3" w14:textId="3E2264FA" w:rsidR="003833A3" w:rsidRPr="00903B86" w:rsidRDefault="003833A3" w:rsidP="003833A3">
            <w:pPr>
              <w:rPr>
                <w:rFonts w:cs="Arial"/>
                <w:sz w:val="24"/>
              </w:rPr>
            </w:pPr>
            <w:r w:rsidRPr="00903B86">
              <w:rPr>
                <w:rFonts w:cs="Arial"/>
                <w:b/>
                <w:sz w:val="24"/>
              </w:rPr>
              <w:t xml:space="preserve">Published Online: </w:t>
            </w:r>
            <w:r w:rsidR="00947872" w:rsidRPr="00947872">
              <w:rPr>
                <w:rFonts w:cs="Arial"/>
                <w:bCs/>
                <w:i/>
                <w:iCs/>
                <w:sz w:val="24"/>
              </w:rPr>
              <w:t>26</w:t>
            </w:r>
            <w:r w:rsidR="005823EC" w:rsidRPr="00A57747">
              <w:rPr>
                <w:rFonts w:cs="Arial"/>
                <w:bCs/>
                <w:sz w:val="24"/>
              </w:rPr>
              <w:t xml:space="preserve"> </w:t>
            </w:r>
            <w:r w:rsidR="002511BE">
              <w:rPr>
                <w:rFonts w:cs="Arial"/>
                <w:bCs/>
                <w:sz w:val="24"/>
              </w:rPr>
              <w:t>Ju</w:t>
            </w:r>
            <w:r w:rsidR="00947872">
              <w:rPr>
                <w:rFonts w:cs="Arial"/>
                <w:bCs/>
                <w:sz w:val="24"/>
              </w:rPr>
              <w:t>ly</w:t>
            </w:r>
            <w:r w:rsidR="002511BE">
              <w:rPr>
                <w:rFonts w:cs="Arial"/>
                <w:bCs/>
                <w:sz w:val="24"/>
              </w:rPr>
              <w:t xml:space="preserve"> </w:t>
            </w:r>
            <w:r w:rsidR="008E727D">
              <w:rPr>
                <w:rFonts w:cs="Arial"/>
                <w:sz w:val="24"/>
              </w:rPr>
              <w:t>2023</w:t>
            </w:r>
          </w:p>
          <w:p w14:paraId="161AF03C" w14:textId="6AAA4E68" w:rsidR="003833A3" w:rsidRPr="003833A3" w:rsidRDefault="003833A3" w:rsidP="003833A3">
            <w:pPr>
              <w:rPr>
                <w:rFonts w:cs="Arial"/>
                <w:b/>
                <w:sz w:val="28"/>
              </w:rPr>
            </w:pPr>
          </w:p>
        </w:tc>
      </w:tr>
      <w:tr w:rsidR="00723E0F" w:rsidRPr="00496EAA" w14:paraId="6506A29B" w14:textId="77777777" w:rsidTr="0093030D">
        <w:trPr>
          <w:trHeight w:val="372"/>
        </w:trPr>
        <w:tc>
          <w:tcPr>
            <w:tcW w:w="11186" w:type="dxa"/>
          </w:tcPr>
          <w:p w14:paraId="7B0DEB82" w14:textId="7C6EA5BD" w:rsidR="00EE018E" w:rsidRPr="00496EAA" w:rsidRDefault="003115A9" w:rsidP="00496EAA">
            <w:pPr>
              <w:contextualSpacing/>
              <w:rPr>
                <w:rFonts w:ascii="Calibri" w:hAnsi="Calibri" w:cs="Calibri"/>
                <w:sz w:val="24"/>
                <w:szCs w:val="24"/>
              </w:rPr>
            </w:pPr>
            <w:r w:rsidRPr="00496EAA">
              <w:rPr>
                <w:rFonts w:ascii="Calibri" w:hAnsi="Calibri" w:cs="Calibri"/>
                <w:b/>
                <w:bCs/>
                <w:sz w:val="24"/>
                <w:szCs w:val="24"/>
              </w:rPr>
              <w:t>In-Text Citation:</w:t>
            </w:r>
            <w:r w:rsidR="00D57B52">
              <w:rPr>
                <w:rFonts w:ascii="Calibri" w:hAnsi="Calibri" w:cs="Calibri"/>
                <w:b/>
                <w:bCs/>
                <w:sz w:val="24"/>
                <w:szCs w:val="24"/>
              </w:rPr>
              <w:t xml:space="preserve"> </w:t>
            </w:r>
            <w:r w:rsidR="00D57B52">
              <w:rPr>
                <w:rFonts w:ascii="Calibri" w:hAnsi="Calibri" w:cs="Calibri"/>
                <w:b/>
                <w:bCs/>
                <w:sz w:val="24"/>
                <w:szCs w:val="24"/>
              </w:rPr>
              <w:fldChar w:fldCharType="begin" w:fldLock="1"/>
            </w:r>
            <w:r w:rsidR="00D57B52">
              <w:rPr>
                <w:rFonts w:ascii="Calibri" w:hAnsi="Calibri" w:cs="Calibri"/>
                <w:b/>
                <w:bCs/>
                <w:sz w:val="24"/>
                <w:szCs w:val="24"/>
              </w:rPr>
              <w:instrText>ADDIN CSL_CITATION {"citationItems":[{"id":"ITEM-1","itemData":{"author":[{"dropping-particle":"","family":"Amidjaya","given":"Prihatnolo Gandhi","non-dropping-particle":"","parse-names":false,"suffix":""},{"dropping-particle":"","family":"Yau","given":"Josephine Tan Hwang","non-dropping-particle":"","parse-names":false,"suffix":""},{"dropping-particle":"","family":"Cheuk","given":"Sharon Choy Sheung","non-dropping-particle":"","parse-names":false,"suffix":""}],"container-title":"International Journal of Academic Research in Accounting Finance and Management Sciences","id":"ITEM-1","issue":"2","issued":{"date-parts":[["2023"]]},"page":"1163 - 1180","title":"Board Diversity and Sustainability Reporting: Empirical Evidence from Indonesian Listed Banks","type":"article-journal","volume":"13"},"uris":["http://www.mendeley.com/documents/?uuid=7f7bfade-deea-4e6e-b2e3-f73ec16bf46c"]}],"mendeley":{"formattedCitation":"(Amidjaya et al., 2023)","plainTextFormattedCitation":"(Amidjaya et al., 2023)","previouslyFormattedCitation":"(Amidjaya et al., 2023)"},"properties":{"noteIndex":0},"schema":"https://github.com/citation-style-language/schema/raw/master/csl-citation.json"}</w:instrText>
            </w:r>
            <w:r w:rsidR="00D57B52">
              <w:rPr>
                <w:rFonts w:ascii="Calibri" w:hAnsi="Calibri" w:cs="Calibri"/>
                <w:b/>
                <w:bCs/>
                <w:sz w:val="24"/>
                <w:szCs w:val="24"/>
              </w:rPr>
              <w:fldChar w:fldCharType="separate"/>
            </w:r>
            <w:r w:rsidR="00D57B52" w:rsidRPr="00D57B52">
              <w:rPr>
                <w:rFonts w:ascii="Calibri" w:hAnsi="Calibri" w:cs="Calibri"/>
                <w:bCs/>
                <w:noProof/>
                <w:sz w:val="24"/>
                <w:szCs w:val="24"/>
              </w:rPr>
              <w:t>(Amidjaya et al., 2023)</w:t>
            </w:r>
            <w:r w:rsidR="00D57B52">
              <w:rPr>
                <w:rFonts w:ascii="Calibri" w:hAnsi="Calibri" w:cs="Calibri"/>
                <w:b/>
                <w:bCs/>
                <w:sz w:val="24"/>
                <w:szCs w:val="24"/>
              </w:rPr>
              <w:fldChar w:fldCharType="end"/>
            </w:r>
            <w:r w:rsidR="008156A3" w:rsidRPr="00496EAA">
              <w:rPr>
                <w:rFonts w:ascii="Calibri" w:hAnsi="Calibri" w:cs="Calibri"/>
                <w:b/>
                <w:bCs/>
                <w:sz w:val="24"/>
                <w:szCs w:val="24"/>
              </w:rPr>
              <w:t xml:space="preserve"> </w:t>
            </w:r>
          </w:p>
          <w:p w14:paraId="1FEE8B10" w14:textId="56401E7A" w:rsidR="00D57B52" w:rsidRPr="00D57B52" w:rsidRDefault="00EE018E" w:rsidP="00D57B52">
            <w:pPr>
              <w:widowControl w:val="0"/>
              <w:autoSpaceDE w:val="0"/>
              <w:autoSpaceDN w:val="0"/>
              <w:adjustRightInd w:val="0"/>
              <w:ind w:left="480" w:hanging="480"/>
              <w:rPr>
                <w:rFonts w:ascii="Calibri" w:hAnsi="Calibri" w:cs="Calibri"/>
                <w:noProof/>
                <w:sz w:val="24"/>
              </w:rPr>
            </w:pPr>
            <w:r w:rsidRPr="00496EAA">
              <w:rPr>
                <w:rFonts w:ascii="Calibri" w:hAnsi="Calibri" w:cs="Calibri"/>
                <w:b/>
                <w:bCs/>
                <w:sz w:val="24"/>
                <w:szCs w:val="24"/>
              </w:rPr>
              <w:t>To Cite this Article</w:t>
            </w:r>
            <w:r w:rsidR="00836755" w:rsidRPr="00496EAA">
              <w:rPr>
                <w:rFonts w:ascii="Calibri" w:hAnsi="Calibri" w:cs="Calibri"/>
                <w:b/>
                <w:bCs/>
                <w:sz w:val="24"/>
                <w:szCs w:val="24"/>
              </w:rPr>
              <w:t>:</w:t>
            </w:r>
            <w:r w:rsidR="008156A3" w:rsidRPr="00496EAA">
              <w:rPr>
                <w:rFonts w:ascii="Calibri" w:hAnsi="Calibri" w:cs="Calibri"/>
                <w:b/>
                <w:bCs/>
                <w:sz w:val="24"/>
                <w:szCs w:val="24"/>
              </w:rPr>
              <w:t xml:space="preserve"> </w:t>
            </w:r>
            <w:r w:rsidR="00D57B52">
              <w:rPr>
                <w:rFonts w:ascii="Calibri" w:hAnsi="Calibri" w:cs="Calibri"/>
                <w:b/>
                <w:bCs/>
                <w:sz w:val="24"/>
                <w:szCs w:val="24"/>
              </w:rPr>
              <w:fldChar w:fldCharType="begin" w:fldLock="1"/>
            </w:r>
            <w:r w:rsidR="00D57B52">
              <w:rPr>
                <w:rFonts w:ascii="Calibri" w:hAnsi="Calibri" w:cs="Calibri"/>
                <w:b/>
                <w:bCs/>
                <w:sz w:val="24"/>
                <w:szCs w:val="24"/>
              </w:rPr>
              <w:instrText xml:space="preserve">ADDIN Mendeley Bibliography CSL_BIBLIOGRAPHY </w:instrText>
            </w:r>
            <w:r w:rsidR="00D57B52">
              <w:rPr>
                <w:rFonts w:ascii="Calibri" w:hAnsi="Calibri" w:cs="Calibri"/>
                <w:b/>
                <w:bCs/>
                <w:sz w:val="24"/>
                <w:szCs w:val="24"/>
              </w:rPr>
              <w:fldChar w:fldCharType="separate"/>
            </w:r>
            <w:r w:rsidR="00D57B52" w:rsidRPr="00D57B52">
              <w:rPr>
                <w:rFonts w:ascii="Calibri" w:hAnsi="Calibri" w:cs="Calibri"/>
                <w:noProof/>
                <w:sz w:val="24"/>
                <w:szCs w:val="24"/>
              </w:rPr>
              <w:t xml:space="preserve">Amidjaya, P. G., Yau, J. T. H., &amp; Cheuk, S. C. S. (2023). Board Diversity and Sustainability Reporting: Empirical Evidence from Indonesian Listed Banks. </w:t>
            </w:r>
            <w:r w:rsidR="00D57B52" w:rsidRPr="00D57B52">
              <w:rPr>
                <w:rFonts w:ascii="Calibri" w:hAnsi="Calibri" w:cs="Calibri"/>
                <w:i/>
                <w:iCs/>
                <w:noProof/>
                <w:sz w:val="24"/>
                <w:szCs w:val="24"/>
              </w:rPr>
              <w:t>International Journal of Academic Research in Accounting Finance and Management Sciences</w:t>
            </w:r>
            <w:r w:rsidR="00D57B52" w:rsidRPr="00D57B52">
              <w:rPr>
                <w:rFonts w:ascii="Calibri" w:hAnsi="Calibri" w:cs="Calibri"/>
                <w:noProof/>
                <w:sz w:val="24"/>
                <w:szCs w:val="24"/>
              </w:rPr>
              <w:t xml:space="preserve">, </w:t>
            </w:r>
            <w:r w:rsidR="00D57B52" w:rsidRPr="00D57B52">
              <w:rPr>
                <w:rFonts w:ascii="Calibri" w:hAnsi="Calibri" w:cs="Calibri"/>
                <w:i/>
                <w:iCs/>
                <w:noProof/>
                <w:sz w:val="24"/>
                <w:szCs w:val="24"/>
              </w:rPr>
              <w:t>13</w:t>
            </w:r>
            <w:r w:rsidR="00D57B52" w:rsidRPr="00D57B52">
              <w:rPr>
                <w:rFonts w:ascii="Calibri" w:hAnsi="Calibri" w:cs="Calibri"/>
                <w:noProof/>
                <w:sz w:val="24"/>
                <w:szCs w:val="24"/>
              </w:rPr>
              <w:t>(2), 116</w:t>
            </w:r>
            <w:r w:rsidR="008927CD">
              <w:rPr>
                <w:rFonts w:ascii="Calibri" w:hAnsi="Calibri" w:cs="Calibri"/>
                <w:noProof/>
                <w:sz w:val="24"/>
                <w:szCs w:val="24"/>
              </w:rPr>
              <w:t>1</w:t>
            </w:r>
            <w:r w:rsidR="00D57B52" w:rsidRPr="00D57B52">
              <w:rPr>
                <w:rFonts w:ascii="Calibri" w:hAnsi="Calibri" w:cs="Calibri"/>
                <w:noProof/>
                <w:sz w:val="24"/>
                <w:szCs w:val="24"/>
              </w:rPr>
              <w:t>–11</w:t>
            </w:r>
            <w:r w:rsidR="0058535D">
              <w:rPr>
                <w:rFonts w:ascii="Calibri" w:hAnsi="Calibri" w:cs="Calibri"/>
                <w:noProof/>
                <w:sz w:val="24"/>
                <w:szCs w:val="24"/>
              </w:rPr>
              <w:t>7</w:t>
            </w:r>
            <w:r w:rsidR="00D57B52" w:rsidRPr="00D57B52">
              <w:rPr>
                <w:rFonts w:ascii="Calibri" w:hAnsi="Calibri" w:cs="Calibri"/>
                <w:noProof/>
                <w:sz w:val="24"/>
                <w:szCs w:val="24"/>
              </w:rPr>
              <w:t>8.</w:t>
            </w:r>
          </w:p>
          <w:p w14:paraId="740E5603" w14:textId="5AF5EC0A" w:rsidR="00B8785C" w:rsidRPr="00496EAA" w:rsidRDefault="00D57B52" w:rsidP="00D57B52">
            <w:pPr>
              <w:ind w:left="321" w:hanging="321"/>
              <w:contextualSpacing/>
              <w:rPr>
                <w:rFonts w:ascii="Calibri" w:hAnsi="Calibri" w:cs="Calibri"/>
                <w:sz w:val="2"/>
                <w:szCs w:val="2"/>
              </w:rPr>
            </w:pPr>
            <w:r>
              <w:rPr>
                <w:rFonts w:ascii="Calibri" w:hAnsi="Calibri" w:cs="Calibri"/>
                <w:b/>
                <w:bCs/>
                <w:sz w:val="24"/>
                <w:szCs w:val="24"/>
              </w:rPr>
              <w:fldChar w:fldCharType="end"/>
            </w:r>
          </w:p>
        </w:tc>
      </w:tr>
      <w:tr w:rsidR="003833A3" w:rsidRPr="003833A3" w14:paraId="57E2ED9E" w14:textId="77777777" w:rsidTr="0093030D">
        <w:trPr>
          <w:trHeight w:val="372"/>
        </w:trPr>
        <w:tc>
          <w:tcPr>
            <w:tcW w:w="11186" w:type="dxa"/>
          </w:tcPr>
          <w:p w14:paraId="1E665BF8" w14:textId="1999EEBD" w:rsidR="003833A3" w:rsidRPr="003833A3" w:rsidRDefault="003833A3" w:rsidP="003833A3">
            <w:pPr>
              <w:rPr>
                <w:rFonts w:cs="Arial"/>
                <w:b/>
                <w:sz w:val="28"/>
              </w:rPr>
            </w:pPr>
            <w:r>
              <w:rPr>
                <w:rFonts w:cs="Arial"/>
                <w:b/>
                <w:sz w:val="28"/>
              </w:rPr>
              <w:t>Copyright:</w:t>
            </w:r>
            <w:r>
              <w:rPr>
                <w:rFonts w:ascii="Arial" w:hAnsi="Arial" w:cs="Arial"/>
                <w:color w:val="515151"/>
                <w:spacing w:val="5"/>
                <w:shd w:val="clear" w:color="auto" w:fill="FFFFFF"/>
              </w:rPr>
              <w:t xml:space="preserve"> © </w:t>
            </w:r>
            <w:r w:rsidR="008E727D">
              <w:rPr>
                <w:rFonts w:ascii="Arial" w:hAnsi="Arial" w:cs="Arial"/>
                <w:color w:val="515151"/>
                <w:spacing w:val="5"/>
                <w:shd w:val="clear" w:color="auto" w:fill="FFFFFF"/>
              </w:rPr>
              <w:t>2023</w:t>
            </w:r>
            <w:r w:rsidR="006F5E43">
              <w:rPr>
                <w:rFonts w:ascii="Arial" w:hAnsi="Arial" w:cs="Arial"/>
                <w:color w:val="515151"/>
                <w:spacing w:val="5"/>
                <w:shd w:val="clear" w:color="auto" w:fill="FFFFFF"/>
              </w:rPr>
              <w:t xml:space="preserve"> </w:t>
            </w:r>
            <w:r w:rsidR="0011697D">
              <w:rPr>
                <w:rFonts w:ascii="Arial" w:hAnsi="Arial" w:cs="Arial"/>
                <w:color w:val="515151"/>
                <w:spacing w:val="5"/>
                <w:shd w:val="clear" w:color="auto" w:fill="FFFFFF"/>
              </w:rPr>
              <w:t>The Author</w:t>
            </w:r>
            <w:r w:rsidR="006F5E43">
              <w:rPr>
                <w:rFonts w:ascii="Arial" w:hAnsi="Arial" w:cs="Arial"/>
                <w:color w:val="515151"/>
                <w:spacing w:val="5"/>
                <w:shd w:val="clear" w:color="auto" w:fill="FFFFFF"/>
              </w:rPr>
              <w:t>(</w:t>
            </w:r>
            <w:r w:rsidR="0011697D">
              <w:rPr>
                <w:rFonts w:ascii="Arial" w:hAnsi="Arial" w:cs="Arial"/>
                <w:color w:val="515151"/>
                <w:spacing w:val="5"/>
                <w:shd w:val="clear" w:color="auto" w:fill="FFFFFF"/>
              </w:rPr>
              <w:t>s</w:t>
            </w:r>
            <w:r w:rsidR="006F5E43">
              <w:rPr>
                <w:rFonts w:ascii="Arial" w:hAnsi="Arial" w:cs="Arial"/>
                <w:color w:val="515151"/>
                <w:spacing w:val="5"/>
                <w:shd w:val="clear" w:color="auto" w:fill="FFFFFF"/>
              </w:rPr>
              <w:t>)</w:t>
            </w:r>
            <w:r>
              <w:rPr>
                <w:rFonts w:ascii="Arial" w:hAnsi="Arial" w:cs="Arial"/>
                <w:color w:val="515151"/>
                <w:spacing w:val="5"/>
                <w:shd w:val="clear" w:color="auto" w:fill="FFFFFF"/>
              </w:rPr>
              <w:t xml:space="preserve"> </w:t>
            </w:r>
            <w:r>
              <w:rPr>
                <w:rFonts w:ascii="Arial" w:hAnsi="Arial" w:cs="Arial"/>
                <w:color w:val="515151"/>
                <w:spacing w:val="5"/>
              </w:rPr>
              <w:br/>
            </w:r>
            <w:r w:rsidRPr="00722A89">
              <w:rPr>
                <w:rFonts w:ascii="Arial" w:hAnsi="Arial" w:cs="Arial"/>
                <w:color w:val="4472C4" w:themeColor="accent1"/>
                <w:spacing w:val="5"/>
                <w:shd w:val="clear" w:color="auto" w:fill="FFFFFF"/>
              </w:rPr>
              <w:t>Published by Human Resource Management Academic Research Society (www.hrmars.com)</w:t>
            </w:r>
            <w:r>
              <w:rPr>
                <w:rFonts w:ascii="Arial" w:hAnsi="Arial" w:cs="Arial"/>
                <w:color w:val="515151"/>
                <w:spacing w:val="5"/>
              </w:rPr>
              <w:br/>
            </w:r>
            <w:r>
              <w:t>This article is published under the Creative Commons Attribution (CC BY 4.0) license. Anyone may reproduce, distribute, translate and create derivative works of this article (for both commercial and non-commercial purposes), subject to full attribution to the original publication and authors. The full terms of this license may be seen at: </w:t>
            </w:r>
            <w:hyperlink r:id="rId9" w:tgtFrame="_blank" w:tooltip="External link, opens new window" w:history="1">
              <w:r>
                <w:rPr>
                  <w:rStyle w:val="Hyperlink"/>
                  <w:color w:val="00545B"/>
                </w:rPr>
                <w:t>http://creativecommons.org/licences/by/4.0/legalcode</w:t>
              </w:r>
            </w:hyperlink>
          </w:p>
        </w:tc>
      </w:tr>
    </w:tbl>
    <w:p w14:paraId="616DD7A9" w14:textId="59DC21CD" w:rsidR="00317C65" w:rsidRDefault="00317C65" w:rsidP="00317C65">
      <w:pPr>
        <w:ind w:firstLine="720"/>
      </w:pPr>
    </w:p>
    <w:p w14:paraId="3F9129A1" w14:textId="39A5EC80" w:rsidR="00317C65" w:rsidRPr="00CA28F2" w:rsidRDefault="00317C65" w:rsidP="00317C65">
      <w:pPr>
        <w:ind w:firstLine="720"/>
        <w:rPr>
          <w:sz w:val="14"/>
        </w:rPr>
      </w:pPr>
    </w:p>
    <w:tbl>
      <w:tblPr>
        <w:tblStyle w:val="TableGrid"/>
        <w:tblpPr w:leftFromText="180" w:rightFromText="180" w:vertAnchor="text" w:horzAnchor="margin" w:tblpXSpec="center" w:tblpY="260"/>
        <w:tblW w:w="10830" w:type="dxa"/>
        <w:tblBorders>
          <w:top w:val="double" w:sz="4" w:space="0" w:color="4472C4" w:themeColor="accent1"/>
          <w:left w:val="double" w:sz="4" w:space="0" w:color="4472C4" w:themeColor="accent1"/>
          <w:bottom w:val="double" w:sz="4" w:space="0" w:color="4472C4" w:themeColor="accent1"/>
          <w:right w:val="double" w:sz="4" w:space="0" w:color="4472C4" w:themeColor="accent1"/>
        </w:tblBorders>
        <w:tblLook w:val="04A0" w:firstRow="1" w:lastRow="0" w:firstColumn="1" w:lastColumn="0" w:noHBand="0" w:noVBand="1"/>
      </w:tblPr>
      <w:tblGrid>
        <w:gridCol w:w="8229"/>
        <w:gridCol w:w="2601"/>
      </w:tblGrid>
      <w:tr w:rsidR="00733BFC" w14:paraId="13FDA604" w14:textId="77777777" w:rsidTr="00733BFC">
        <w:trPr>
          <w:trHeight w:val="463"/>
        </w:trPr>
        <w:tc>
          <w:tcPr>
            <w:tcW w:w="10830" w:type="dxa"/>
            <w:gridSpan w:val="2"/>
            <w:vAlign w:val="center"/>
          </w:tcPr>
          <w:p w14:paraId="4B86F8A5" w14:textId="52435B66" w:rsidR="00733BFC" w:rsidRDefault="00733BFC" w:rsidP="00406A0A">
            <w:pPr>
              <w:contextualSpacing/>
              <w:jc w:val="center"/>
            </w:pPr>
            <w:r w:rsidRPr="00733BFC">
              <w:rPr>
                <w:b/>
                <w:bCs/>
                <w:spacing w:val="-18"/>
                <w:sz w:val="28"/>
                <w:szCs w:val="16"/>
                <w:lang w:val="en-GB" w:eastAsia="pl-PL"/>
              </w:rPr>
              <w:t>V</w:t>
            </w:r>
            <w:r w:rsidRPr="00733BFC">
              <w:rPr>
                <w:b/>
                <w:bCs/>
                <w:sz w:val="28"/>
                <w:szCs w:val="16"/>
                <w:lang w:val="en-GB" w:eastAsia="pl-PL"/>
              </w:rPr>
              <w:t>ol.</w:t>
            </w:r>
            <w:r w:rsidRPr="00733BFC">
              <w:rPr>
                <w:b/>
                <w:bCs/>
                <w:spacing w:val="22"/>
                <w:sz w:val="28"/>
                <w:szCs w:val="16"/>
                <w:lang w:val="en-GB" w:eastAsia="pl-PL"/>
              </w:rPr>
              <w:t xml:space="preserve"> </w:t>
            </w:r>
            <w:r w:rsidR="003E0FD0">
              <w:rPr>
                <w:b/>
                <w:bCs/>
                <w:spacing w:val="22"/>
                <w:sz w:val="28"/>
                <w:szCs w:val="16"/>
                <w:lang w:val="en-GB" w:eastAsia="pl-PL"/>
              </w:rPr>
              <w:t>1</w:t>
            </w:r>
            <w:r w:rsidR="008E727D">
              <w:rPr>
                <w:b/>
                <w:bCs/>
                <w:spacing w:val="22"/>
                <w:sz w:val="28"/>
                <w:szCs w:val="16"/>
                <w:lang w:val="en-GB" w:eastAsia="pl-PL"/>
              </w:rPr>
              <w:t>3</w:t>
            </w:r>
            <w:r w:rsidRPr="00733BFC">
              <w:rPr>
                <w:b/>
                <w:bCs/>
                <w:sz w:val="28"/>
                <w:szCs w:val="16"/>
                <w:lang w:val="en-GB" w:eastAsia="pl-PL"/>
              </w:rPr>
              <w:t>,</w:t>
            </w:r>
            <w:r w:rsidRPr="00733BFC">
              <w:rPr>
                <w:b/>
                <w:bCs/>
                <w:spacing w:val="11"/>
                <w:sz w:val="28"/>
                <w:szCs w:val="16"/>
                <w:lang w:val="en-GB" w:eastAsia="pl-PL"/>
              </w:rPr>
              <w:t xml:space="preserve"> </w:t>
            </w:r>
            <w:r w:rsidRPr="00733BFC">
              <w:rPr>
                <w:b/>
                <w:bCs/>
                <w:sz w:val="28"/>
                <w:szCs w:val="16"/>
                <w:lang w:val="en-GB" w:eastAsia="pl-PL"/>
              </w:rPr>
              <w:t>No.</w:t>
            </w:r>
            <w:r w:rsidR="00C04CF8">
              <w:rPr>
                <w:b/>
                <w:bCs/>
                <w:sz w:val="28"/>
                <w:szCs w:val="16"/>
                <w:lang w:val="en-GB" w:eastAsia="pl-PL"/>
              </w:rPr>
              <w:t xml:space="preserve"> </w:t>
            </w:r>
            <w:r w:rsidR="006D61B4">
              <w:rPr>
                <w:b/>
                <w:bCs/>
                <w:sz w:val="28"/>
                <w:szCs w:val="16"/>
                <w:lang w:val="en-GB" w:eastAsia="pl-PL"/>
              </w:rPr>
              <w:t>2</w:t>
            </w:r>
            <w:r w:rsidRPr="00733BFC">
              <w:rPr>
                <w:b/>
                <w:bCs/>
                <w:sz w:val="28"/>
                <w:szCs w:val="16"/>
                <w:lang w:val="en-GB" w:eastAsia="pl-PL"/>
              </w:rPr>
              <w:t xml:space="preserve">, </w:t>
            </w:r>
            <w:r w:rsidR="008E727D">
              <w:rPr>
                <w:b/>
                <w:bCs/>
                <w:sz w:val="28"/>
                <w:szCs w:val="16"/>
                <w:lang w:val="en-GB" w:eastAsia="pl-PL"/>
              </w:rPr>
              <w:t>2023</w:t>
            </w:r>
            <w:r w:rsidRPr="00733BFC">
              <w:rPr>
                <w:b/>
                <w:bCs/>
                <w:sz w:val="28"/>
                <w:szCs w:val="16"/>
                <w:lang w:val="en-GB" w:eastAsia="pl-PL"/>
              </w:rPr>
              <w:t>,</w:t>
            </w:r>
            <w:r w:rsidRPr="00733BFC">
              <w:rPr>
                <w:b/>
                <w:bCs/>
                <w:spacing w:val="8"/>
                <w:sz w:val="28"/>
                <w:szCs w:val="16"/>
                <w:lang w:val="en-GB" w:eastAsia="pl-PL"/>
              </w:rPr>
              <w:t xml:space="preserve"> </w:t>
            </w:r>
            <w:r>
              <w:rPr>
                <w:b/>
                <w:bCs/>
                <w:spacing w:val="8"/>
                <w:sz w:val="28"/>
                <w:szCs w:val="16"/>
                <w:lang w:val="en-GB" w:eastAsia="pl-PL"/>
              </w:rPr>
              <w:t>Pg</w:t>
            </w:r>
            <w:r w:rsidRPr="00733BFC">
              <w:rPr>
                <w:b/>
                <w:bCs/>
                <w:sz w:val="28"/>
                <w:szCs w:val="16"/>
                <w:lang w:val="en-GB" w:eastAsia="pl-PL"/>
              </w:rPr>
              <w:t>.</w:t>
            </w:r>
            <w:r w:rsidR="00A543B2">
              <w:rPr>
                <w:b/>
                <w:bCs/>
                <w:sz w:val="28"/>
                <w:szCs w:val="16"/>
                <w:lang w:val="en-GB" w:eastAsia="pl-PL"/>
              </w:rPr>
              <w:t xml:space="preserve"> </w:t>
            </w:r>
            <w:r w:rsidR="002C55E1">
              <w:rPr>
                <w:b/>
                <w:bCs/>
                <w:sz w:val="28"/>
                <w:szCs w:val="16"/>
                <w:lang w:val="en-GB" w:eastAsia="pl-PL"/>
              </w:rPr>
              <w:t>11</w:t>
            </w:r>
            <w:r w:rsidR="00DA6FE6">
              <w:rPr>
                <w:b/>
                <w:bCs/>
                <w:sz w:val="28"/>
                <w:szCs w:val="16"/>
                <w:lang w:val="en-GB" w:eastAsia="pl-PL"/>
              </w:rPr>
              <w:t>6</w:t>
            </w:r>
            <w:r w:rsidR="008927CD">
              <w:rPr>
                <w:b/>
                <w:bCs/>
                <w:sz w:val="28"/>
                <w:szCs w:val="16"/>
                <w:lang w:val="en-GB" w:eastAsia="pl-PL"/>
              </w:rPr>
              <w:t>1</w:t>
            </w:r>
            <w:r w:rsidR="00B61908">
              <w:rPr>
                <w:b/>
                <w:bCs/>
                <w:sz w:val="28"/>
                <w:szCs w:val="16"/>
                <w:lang w:val="en-GB" w:eastAsia="pl-PL"/>
              </w:rPr>
              <w:t xml:space="preserve"> </w:t>
            </w:r>
            <w:r w:rsidR="008F25A2">
              <w:rPr>
                <w:b/>
                <w:bCs/>
                <w:sz w:val="28"/>
                <w:szCs w:val="16"/>
                <w:lang w:val="en-GB" w:eastAsia="pl-PL"/>
              </w:rPr>
              <w:t>-</w:t>
            </w:r>
            <w:r w:rsidR="002C55E1">
              <w:rPr>
                <w:b/>
                <w:bCs/>
                <w:sz w:val="28"/>
                <w:szCs w:val="16"/>
                <w:lang w:val="en-GB" w:eastAsia="pl-PL"/>
              </w:rPr>
              <w:t xml:space="preserve"> 11</w:t>
            </w:r>
            <w:r w:rsidR="0058535D">
              <w:rPr>
                <w:b/>
                <w:bCs/>
                <w:sz w:val="28"/>
                <w:szCs w:val="16"/>
                <w:lang w:val="en-GB" w:eastAsia="pl-PL"/>
              </w:rPr>
              <w:t>7</w:t>
            </w:r>
            <w:r w:rsidR="0069729B">
              <w:rPr>
                <w:b/>
                <w:bCs/>
                <w:sz w:val="28"/>
                <w:szCs w:val="16"/>
                <w:lang w:val="en-GB" w:eastAsia="pl-PL"/>
              </w:rPr>
              <w:t>8</w:t>
            </w:r>
          </w:p>
        </w:tc>
      </w:tr>
      <w:tr w:rsidR="00733BFC" w14:paraId="54D582E2" w14:textId="77777777" w:rsidTr="00733BFC">
        <w:trPr>
          <w:trHeight w:val="463"/>
        </w:trPr>
        <w:tc>
          <w:tcPr>
            <w:tcW w:w="8229" w:type="dxa"/>
            <w:shd w:val="clear" w:color="auto" w:fill="1F3864" w:themeFill="accent1" w:themeFillShade="80"/>
            <w:vAlign w:val="center"/>
          </w:tcPr>
          <w:p w14:paraId="212A3D92" w14:textId="20442ECF" w:rsidR="00733BFC" w:rsidRPr="00722A89" w:rsidRDefault="000026E9" w:rsidP="00733BFC">
            <w:pPr>
              <w:jc w:val="center"/>
              <w:rPr>
                <w:b/>
              </w:rPr>
            </w:pPr>
            <w:r w:rsidRPr="000026E9">
              <w:rPr>
                <w:b/>
              </w:rPr>
              <w:t>http://hrmars.com/index.php/pages/detail/</w:t>
            </w:r>
            <w:r w:rsidR="005D68E3">
              <w:rPr>
                <w:b/>
              </w:rPr>
              <w:t>IJAR</w:t>
            </w:r>
            <w:r w:rsidR="006312EA">
              <w:rPr>
                <w:b/>
              </w:rPr>
              <w:t>AFMS</w:t>
            </w:r>
          </w:p>
        </w:tc>
        <w:tc>
          <w:tcPr>
            <w:tcW w:w="2601" w:type="dxa"/>
            <w:shd w:val="clear" w:color="auto" w:fill="1F3864" w:themeFill="accent1" w:themeFillShade="80"/>
            <w:vAlign w:val="center"/>
          </w:tcPr>
          <w:p w14:paraId="6C88BD5D" w14:textId="77777777" w:rsidR="00733BFC" w:rsidRPr="00722A89" w:rsidRDefault="00733BFC" w:rsidP="00733BFC">
            <w:pPr>
              <w:jc w:val="center"/>
              <w:rPr>
                <w:b/>
              </w:rPr>
            </w:pPr>
            <w:r w:rsidRPr="00722A89">
              <w:rPr>
                <w:b/>
              </w:rPr>
              <w:t>JOURNAL HOMEPAGE</w:t>
            </w:r>
          </w:p>
        </w:tc>
      </w:tr>
    </w:tbl>
    <w:p w14:paraId="3BFBD0F0" w14:textId="77777777" w:rsidR="00317C65" w:rsidRDefault="00317C65" w:rsidP="00317C65">
      <w:pPr>
        <w:ind w:firstLine="720"/>
      </w:pPr>
    </w:p>
    <w:p w14:paraId="2DFFFAC3" w14:textId="7B854829" w:rsidR="00317C65" w:rsidRDefault="00317C65" w:rsidP="00722A89">
      <w:pPr>
        <w:jc w:val="center"/>
      </w:pPr>
      <w:r w:rsidRPr="0011697D">
        <w:rPr>
          <w:b/>
          <w:sz w:val="20"/>
        </w:rPr>
        <w:t>Full Terms &amp; Conditions of access and use can be found at</w:t>
      </w:r>
      <w:r w:rsidRPr="00D87D34">
        <w:rPr>
          <w:sz w:val="20"/>
        </w:rPr>
        <w:t xml:space="preserve"> </w:t>
      </w:r>
      <w:r w:rsidR="0011697D" w:rsidRPr="000026E9">
        <w:t>http://hrmars.com/index.php/pages/detail/publication-ethics</w:t>
      </w:r>
    </w:p>
    <w:tbl>
      <w:tblPr>
        <w:tblStyle w:val="TableGrid"/>
        <w:tblpPr w:leftFromText="180" w:rightFromText="180" w:vertAnchor="page" w:horzAnchor="margin" w:tblpXSpec="center" w:tblpY="421"/>
        <w:tblW w:w="1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1"/>
      </w:tblGrid>
      <w:tr w:rsidR="0011697D" w14:paraId="1F1D9231" w14:textId="77777777" w:rsidTr="0071356F">
        <w:trPr>
          <w:trHeight w:val="2536"/>
        </w:trPr>
        <w:tc>
          <w:tcPr>
            <w:tcW w:w="11281" w:type="dxa"/>
          </w:tcPr>
          <w:p w14:paraId="08577B30" w14:textId="19FF486B" w:rsidR="0011697D" w:rsidRDefault="003B0E8F" w:rsidP="0071356F">
            <w:r>
              <w:rPr>
                <w:noProof/>
              </w:rPr>
              <w:lastRenderedPageBreak/>
              <w:drawing>
                <wp:inline distT="0" distB="0" distL="0" distR="0" wp14:anchorId="7189E8D7" wp14:editId="6F87C53E">
                  <wp:extent cx="6984873" cy="16002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4873" cy="1600200"/>
                          </a:xfrm>
                          <a:prstGeom prst="rect">
                            <a:avLst/>
                          </a:prstGeom>
                        </pic:spPr>
                      </pic:pic>
                    </a:graphicData>
                  </a:graphic>
                </wp:inline>
              </w:drawing>
            </w:r>
          </w:p>
        </w:tc>
      </w:tr>
    </w:tbl>
    <w:p w14:paraId="2A6D5D3B" w14:textId="18178308" w:rsidR="008E727D" w:rsidRDefault="008E727D" w:rsidP="007B05DB">
      <w:pPr>
        <w:pStyle w:val="Title"/>
        <w:spacing w:before="0" w:after="0"/>
        <w:ind w:right="-46"/>
        <w:jc w:val="center"/>
        <w:rPr>
          <w:rFonts w:ascii="Calibri" w:hAnsi="Calibri"/>
          <w:b w:val="0"/>
          <w:bCs/>
          <w:sz w:val="24"/>
          <w:szCs w:val="24"/>
        </w:rPr>
      </w:pPr>
    </w:p>
    <w:p w14:paraId="051368B7" w14:textId="77777777" w:rsidR="0069729B" w:rsidRPr="0069729B" w:rsidRDefault="0069729B" w:rsidP="0069729B">
      <w:pPr>
        <w:spacing w:after="0" w:line="240" w:lineRule="auto"/>
        <w:jc w:val="center"/>
        <w:rPr>
          <w:rFonts w:ascii="Roboto" w:hAnsi="Roboto" w:cs="Calibri"/>
          <w:b/>
          <w:bCs/>
          <w:sz w:val="40"/>
          <w:szCs w:val="40"/>
        </w:rPr>
      </w:pPr>
      <w:r w:rsidRPr="0069729B">
        <w:rPr>
          <w:rFonts w:ascii="Roboto" w:hAnsi="Roboto" w:cs="Calibri"/>
          <w:b/>
          <w:bCs/>
          <w:sz w:val="40"/>
          <w:szCs w:val="40"/>
        </w:rPr>
        <w:t>Board Diversity and Sustainability Reporting: Empirical Evidence from Indonesian Listed Banks</w:t>
      </w:r>
    </w:p>
    <w:p w14:paraId="54A4E02A" w14:textId="77777777" w:rsidR="0069729B" w:rsidRPr="00EB0F4E" w:rsidRDefault="0069729B" w:rsidP="0069729B">
      <w:pPr>
        <w:spacing w:after="0" w:line="240" w:lineRule="auto"/>
        <w:jc w:val="center"/>
        <w:rPr>
          <w:rFonts w:ascii="Calibri" w:hAnsi="Calibri" w:cs="Calibri"/>
          <w:sz w:val="24"/>
          <w:szCs w:val="24"/>
        </w:rPr>
      </w:pPr>
    </w:p>
    <w:p w14:paraId="565F2FC4" w14:textId="52B4AF41" w:rsidR="0069729B" w:rsidRPr="0069729B" w:rsidRDefault="0069729B" w:rsidP="0069729B">
      <w:pPr>
        <w:spacing w:after="0" w:line="240" w:lineRule="auto"/>
        <w:jc w:val="center"/>
        <w:rPr>
          <w:rFonts w:asciiTheme="minorBidi" w:hAnsiTheme="minorBidi"/>
          <w:sz w:val="32"/>
          <w:szCs w:val="32"/>
        </w:rPr>
      </w:pPr>
      <w:proofErr w:type="spellStart"/>
      <w:r w:rsidRPr="0069729B">
        <w:rPr>
          <w:rFonts w:asciiTheme="minorBidi" w:hAnsiTheme="minorBidi"/>
          <w:sz w:val="32"/>
          <w:szCs w:val="32"/>
        </w:rPr>
        <w:t>Prihatnolo</w:t>
      </w:r>
      <w:proofErr w:type="spellEnd"/>
      <w:r w:rsidRPr="0069729B">
        <w:rPr>
          <w:rFonts w:asciiTheme="minorBidi" w:hAnsiTheme="minorBidi"/>
          <w:sz w:val="32"/>
          <w:szCs w:val="32"/>
        </w:rPr>
        <w:t xml:space="preserve"> Gandhi </w:t>
      </w:r>
      <w:proofErr w:type="spellStart"/>
      <w:r w:rsidRPr="0069729B">
        <w:rPr>
          <w:rFonts w:asciiTheme="minorBidi" w:hAnsiTheme="minorBidi"/>
          <w:sz w:val="32"/>
          <w:szCs w:val="32"/>
        </w:rPr>
        <w:t>Amidjaya</w:t>
      </w:r>
      <w:proofErr w:type="spellEnd"/>
      <w:r w:rsidRPr="0069729B">
        <w:rPr>
          <w:rFonts w:asciiTheme="minorBidi" w:hAnsiTheme="minorBidi"/>
          <w:sz w:val="32"/>
          <w:szCs w:val="32"/>
        </w:rPr>
        <w:t xml:space="preserve">, Josephine Tan Hwang </w:t>
      </w:r>
      <w:proofErr w:type="spellStart"/>
      <w:r w:rsidRPr="0069729B">
        <w:rPr>
          <w:rFonts w:asciiTheme="minorBidi" w:hAnsiTheme="minorBidi"/>
          <w:sz w:val="32"/>
          <w:szCs w:val="32"/>
        </w:rPr>
        <w:t>Yau</w:t>
      </w:r>
      <w:proofErr w:type="spellEnd"/>
      <w:r w:rsidRPr="0069729B">
        <w:rPr>
          <w:rFonts w:asciiTheme="minorBidi" w:hAnsiTheme="minorBidi"/>
          <w:sz w:val="32"/>
          <w:szCs w:val="32"/>
        </w:rPr>
        <w:t>, Sharon Choy Sheung Cheuk</w:t>
      </w:r>
    </w:p>
    <w:p w14:paraId="64419F90" w14:textId="31B6A25C" w:rsidR="0069729B" w:rsidRPr="00EB0F4E" w:rsidRDefault="0069729B" w:rsidP="0069729B">
      <w:pPr>
        <w:spacing w:after="0" w:line="240" w:lineRule="auto"/>
        <w:jc w:val="center"/>
        <w:rPr>
          <w:rFonts w:ascii="Calibri" w:hAnsi="Calibri" w:cs="Calibri"/>
          <w:sz w:val="24"/>
          <w:szCs w:val="24"/>
        </w:rPr>
      </w:pPr>
      <w:r w:rsidRPr="00EB0F4E">
        <w:rPr>
          <w:rFonts w:ascii="Calibri" w:hAnsi="Calibri" w:cs="Calibri"/>
          <w:sz w:val="24"/>
          <w:szCs w:val="24"/>
        </w:rPr>
        <w:t xml:space="preserve">Faculty of Economics and Business, </w:t>
      </w:r>
      <w:proofErr w:type="spellStart"/>
      <w:r w:rsidRPr="00EB0F4E">
        <w:rPr>
          <w:rFonts w:ascii="Calibri" w:hAnsi="Calibri" w:cs="Calibri"/>
          <w:sz w:val="24"/>
          <w:szCs w:val="24"/>
        </w:rPr>
        <w:t>Universiti</w:t>
      </w:r>
      <w:proofErr w:type="spellEnd"/>
      <w:r w:rsidRPr="00EB0F4E">
        <w:rPr>
          <w:rFonts w:ascii="Calibri" w:hAnsi="Calibri" w:cs="Calibri"/>
          <w:sz w:val="24"/>
          <w:szCs w:val="24"/>
        </w:rPr>
        <w:t xml:space="preserve"> Malaysia Sarawak</w:t>
      </w:r>
      <w:r>
        <w:rPr>
          <w:rFonts w:ascii="Calibri" w:hAnsi="Calibri" w:cs="Calibri"/>
          <w:sz w:val="24"/>
          <w:szCs w:val="24"/>
        </w:rPr>
        <w:t xml:space="preserve"> </w:t>
      </w:r>
      <w:r w:rsidRPr="00EB0F4E">
        <w:rPr>
          <w:rFonts w:ascii="Calibri" w:hAnsi="Calibri" w:cs="Calibri"/>
          <w:sz w:val="24"/>
          <w:szCs w:val="24"/>
        </w:rPr>
        <w:t xml:space="preserve">Jalan </w:t>
      </w:r>
      <w:proofErr w:type="spellStart"/>
      <w:r w:rsidRPr="00EB0F4E">
        <w:rPr>
          <w:rFonts w:ascii="Calibri" w:hAnsi="Calibri" w:cs="Calibri"/>
          <w:sz w:val="24"/>
          <w:szCs w:val="24"/>
        </w:rPr>
        <w:t>Datok</w:t>
      </w:r>
      <w:proofErr w:type="spellEnd"/>
      <w:r w:rsidRPr="00EB0F4E">
        <w:rPr>
          <w:rFonts w:ascii="Calibri" w:hAnsi="Calibri" w:cs="Calibri"/>
          <w:sz w:val="24"/>
          <w:szCs w:val="24"/>
        </w:rPr>
        <w:t xml:space="preserve"> Mohammad Musa 94300, Kota </w:t>
      </w:r>
      <w:proofErr w:type="spellStart"/>
      <w:r w:rsidRPr="00EB0F4E">
        <w:rPr>
          <w:rFonts w:ascii="Calibri" w:hAnsi="Calibri" w:cs="Calibri"/>
          <w:sz w:val="24"/>
          <w:szCs w:val="24"/>
        </w:rPr>
        <w:t>Samarahan</w:t>
      </w:r>
      <w:proofErr w:type="spellEnd"/>
      <w:r w:rsidRPr="00EB0F4E">
        <w:rPr>
          <w:rFonts w:ascii="Calibri" w:hAnsi="Calibri" w:cs="Calibri"/>
          <w:sz w:val="24"/>
          <w:szCs w:val="24"/>
        </w:rPr>
        <w:t>, Sarawak Malaysia</w:t>
      </w:r>
    </w:p>
    <w:p w14:paraId="44935292" w14:textId="2BE9D655" w:rsidR="0069729B" w:rsidRPr="00B65D8E" w:rsidRDefault="0069729B" w:rsidP="0069729B">
      <w:pPr>
        <w:spacing w:after="0" w:line="240" w:lineRule="auto"/>
        <w:jc w:val="center"/>
        <w:rPr>
          <w:rFonts w:ascii="Calibri" w:hAnsi="Calibri" w:cs="Calibri"/>
          <w:color w:val="000000" w:themeColor="text1"/>
          <w:sz w:val="24"/>
          <w:szCs w:val="24"/>
        </w:rPr>
      </w:pPr>
      <w:r w:rsidRPr="00B65D8E">
        <w:rPr>
          <w:rFonts w:ascii="Calibri" w:hAnsi="Calibri" w:cs="Calibri"/>
          <w:color w:val="000000" w:themeColor="text1"/>
          <w:sz w:val="24"/>
          <w:szCs w:val="24"/>
        </w:rPr>
        <w:t>Email: ythjosephine@unimas.my</w:t>
      </w:r>
      <w:r w:rsidRPr="00B65D8E">
        <w:rPr>
          <w:rStyle w:val="Hyperlink"/>
          <w:rFonts w:ascii="Calibri" w:hAnsi="Calibri" w:cs="Calibri"/>
          <w:color w:val="000000" w:themeColor="text1"/>
          <w:sz w:val="24"/>
          <w:szCs w:val="24"/>
          <w:u w:val="none"/>
        </w:rPr>
        <w:t>,</w:t>
      </w:r>
      <w:r w:rsidRPr="00B65D8E">
        <w:rPr>
          <w:rFonts w:ascii="Calibri" w:hAnsi="Calibri" w:cs="Calibri"/>
          <w:color w:val="000000" w:themeColor="text1"/>
          <w:sz w:val="24"/>
          <w:szCs w:val="24"/>
        </w:rPr>
        <w:t xml:space="preserve"> ccssharon@unimas.my</w:t>
      </w:r>
    </w:p>
    <w:p w14:paraId="03EBB123" w14:textId="50A7C29B" w:rsidR="0069729B" w:rsidRPr="00EB0F4E" w:rsidRDefault="0069729B" w:rsidP="0069729B">
      <w:pPr>
        <w:spacing w:after="0" w:line="240" w:lineRule="auto"/>
        <w:jc w:val="center"/>
        <w:rPr>
          <w:rFonts w:ascii="Calibri" w:hAnsi="Calibri" w:cs="Calibri"/>
          <w:sz w:val="24"/>
          <w:szCs w:val="24"/>
        </w:rPr>
      </w:pPr>
      <w:r w:rsidRPr="00EB0F4E">
        <w:rPr>
          <w:rFonts w:ascii="Calibri" w:hAnsi="Calibri" w:cs="Calibri"/>
          <w:sz w:val="24"/>
          <w:szCs w:val="24"/>
        </w:rPr>
        <w:t xml:space="preserve">Corresponding Author’s Email: </w:t>
      </w:r>
      <w:r w:rsidRPr="0069729B">
        <w:rPr>
          <w:rFonts w:ascii="Calibri" w:hAnsi="Calibri" w:cs="Calibri"/>
          <w:sz w:val="24"/>
          <w:szCs w:val="24"/>
        </w:rPr>
        <w:t>prihatnologandhi@gmail.com</w:t>
      </w:r>
    </w:p>
    <w:p w14:paraId="66756ABB" w14:textId="77777777" w:rsidR="0069729B" w:rsidRPr="00EB0F4E" w:rsidRDefault="0069729B" w:rsidP="0069729B">
      <w:pPr>
        <w:spacing w:after="0" w:line="240" w:lineRule="auto"/>
        <w:jc w:val="both"/>
        <w:rPr>
          <w:rFonts w:ascii="Calibri" w:hAnsi="Calibri" w:cs="Calibri"/>
          <w:sz w:val="24"/>
          <w:szCs w:val="24"/>
        </w:rPr>
      </w:pPr>
    </w:p>
    <w:p w14:paraId="418C63CC" w14:textId="77777777" w:rsidR="0069729B" w:rsidRPr="00EB0F4E" w:rsidRDefault="0069729B" w:rsidP="0069729B">
      <w:pPr>
        <w:spacing w:after="0" w:line="240" w:lineRule="auto"/>
        <w:jc w:val="both"/>
        <w:rPr>
          <w:rFonts w:ascii="Calibri" w:hAnsi="Calibri" w:cs="Calibri"/>
          <w:b/>
          <w:bCs/>
          <w:sz w:val="24"/>
          <w:szCs w:val="24"/>
        </w:rPr>
      </w:pPr>
      <w:r w:rsidRPr="00EB0F4E">
        <w:rPr>
          <w:rFonts w:ascii="Calibri" w:hAnsi="Calibri" w:cs="Calibri"/>
          <w:b/>
          <w:bCs/>
          <w:sz w:val="24"/>
          <w:szCs w:val="24"/>
        </w:rPr>
        <w:t>Abstract</w:t>
      </w:r>
    </w:p>
    <w:p w14:paraId="41DD571C" w14:textId="77777777" w:rsidR="0069729B" w:rsidRPr="00EB0F4E" w:rsidRDefault="0069729B" w:rsidP="0069729B">
      <w:pPr>
        <w:spacing w:after="0" w:line="240" w:lineRule="auto"/>
        <w:jc w:val="both"/>
        <w:rPr>
          <w:rFonts w:ascii="Calibri" w:hAnsi="Calibri" w:cs="Calibri"/>
          <w:sz w:val="24"/>
          <w:szCs w:val="24"/>
        </w:rPr>
      </w:pPr>
      <w:r w:rsidRPr="00EB0F4E">
        <w:rPr>
          <w:rFonts w:ascii="Calibri" w:hAnsi="Calibri" w:cs="Calibri"/>
          <w:sz w:val="24"/>
          <w:szCs w:val="24"/>
        </w:rPr>
        <w:t>Sustainability reporting has gained a significant attention due to its importance for sustainable development goals. Follow</w:t>
      </w:r>
      <w:bookmarkStart w:id="0" w:name="_GoBack"/>
      <w:bookmarkEnd w:id="0"/>
      <w:r w:rsidRPr="00EB0F4E">
        <w:rPr>
          <w:rFonts w:ascii="Calibri" w:hAnsi="Calibri" w:cs="Calibri"/>
          <w:sz w:val="24"/>
          <w:szCs w:val="24"/>
        </w:rPr>
        <w:t>ing the increased concern of sustainability reporting in Indonesian business, this study examines the effect of board of commissioner’s diversity on sustainability reporting in Indonesian listed banks. The study explores the topics by following the concept of agency theory. Our study employs secondary data obtained from the annual and sustainability reports from 2014-2018. By using purposive sampling method, the study generates 210 observations in which the analysis is conducted with panel data regression using STATA statistics software. Our study finds that the sustainability reporting implementation of by Indonesian listed banks is still considerably low. There is also no significant improvement since the release of roadmap for sustainable finance in 2014 that enforce sustainability reporting for banking sector. Panel data regression analysis reveals that board’s gender diversity exhibits positive effect on sustainability reporting. Meanwhile, board’s diversity in nationality, age, and education have no significant effect on sustainability reporting practice. The insignificant effect may be due to the fact that the board is still dominated by of local board members, older board members, and board members with business education background. Based on our findings, we suggest the Indonesia Financial Service Authority (OJK) as the capital market regulator to improve firms' understanding about sustainability reporting and apply higher enforcement of its implementation. The OJK can optimize the role of board diversity as it has not contributed significantly to improving sustainability reporting practice. Further, future studies can be improved by employing mixed method by combining quantitative and qualitative analyses and also extending the coverage of the study.</w:t>
      </w:r>
    </w:p>
    <w:p w14:paraId="6363AA61" w14:textId="20174D70" w:rsidR="0069729B" w:rsidRPr="0069729B" w:rsidRDefault="0069729B" w:rsidP="0069729B">
      <w:pPr>
        <w:spacing w:after="0" w:line="240" w:lineRule="auto"/>
        <w:jc w:val="both"/>
        <w:rPr>
          <w:rFonts w:ascii="Calibri" w:hAnsi="Calibri" w:cs="Calibri"/>
          <w:sz w:val="24"/>
          <w:szCs w:val="24"/>
        </w:rPr>
      </w:pPr>
      <w:r w:rsidRPr="0069729B">
        <w:rPr>
          <w:rFonts w:ascii="Calibri" w:hAnsi="Calibri" w:cs="Calibri"/>
          <w:b/>
          <w:bCs/>
          <w:sz w:val="24"/>
          <w:szCs w:val="24"/>
        </w:rPr>
        <w:t>Keywords:</w:t>
      </w:r>
      <w:r w:rsidRPr="0069729B">
        <w:rPr>
          <w:rFonts w:ascii="Calibri" w:hAnsi="Calibri" w:cs="Calibri"/>
          <w:sz w:val="24"/>
          <w:szCs w:val="24"/>
        </w:rPr>
        <w:t xml:space="preserve"> Sustainability Reporting, Board of Commissioners, Gender Diversity, Nationality Diversity, Age Diversity, Education Diversity.</w:t>
      </w:r>
    </w:p>
    <w:p w14:paraId="018C49F2" w14:textId="77777777" w:rsidR="0069729B" w:rsidRPr="00EB0F4E" w:rsidRDefault="0069729B" w:rsidP="0069729B">
      <w:pPr>
        <w:spacing w:after="0" w:line="240" w:lineRule="auto"/>
        <w:ind w:left="1134" w:hanging="1134"/>
        <w:jc w:val="both"/>
        <w:rPr>
          <w:rFonts w:ascii="Calibri" w:hAnsi="Calibri" w:cs="Calibri"/>
          <w:i/>
          <w:iCs/>
          <w:sz w:val="24"/>
          <w:szCs w:val="24"/>
        </w:rPr>
      </w:pPr>
    </w:p>
    <w:p w14:paraId="017CEFCA" w14:textId="77777777" w:rsidR="0069729B" w:rsidRPr="00EB0F4E" w:rsidRDefault="0069729B" w:rsidP="0069729B">
      <w:pPr>
        <w:spacing w:after="0" w:line="240" w:lineRule="auto"/>
        <w:jc w:val="both"/>
        <w:rPr>
          <w:rFonts w:ascii="Calibri" w:hAnsi="Calibri" w:cs="Calibri"/>
          <w:b/>
          <w:bCs/>
          <w:sz w:val="24"/>
          <w:szCs w:val="24"/>
        </w:rPr>
      </w:pPr>
      <w:r w:rsidRPr="00EB0F4E">
        <w:rPr>
          <w:rFonts w:ascii="Calibri" w:hAnsi="Calibri" w:cs="Calibri"/>
          <w:b/>
          <w:bCs/>
          <w:sz w:val="24"/>
          <w:szCs w:val="24"/>
        </w:rPr>
        <w:t>Introduction</w:t>
      </w:r>
    </w:p>
    <w:p w14:paraId="3107C45E" w14:textId="77777777" w:rsidR="0069729B" w:rsidRPr="00EB0F4E" w:rsidRDefault="0069729B" w:rsidP="0069729B">
      <w:pPr>
        <w:spacing w:after="0" w:line="240" w:lineRule="auto"/>
        <w:ind w:firstLine="567"/>
        <w:jc w:val="both"/>
        <w:rPr>
          <w:rFonts w:ascii="Calibri" w:hAnsi="Calibri" w:cs="Calibri"/>
          <w:sz w:val="24"/>
          <w:szCs w:val="24"/>
        </w:rPr>
      </w:pPr>
      <w:r w:rsidRPr="00EB0F4E">
        <w:rPr>
          <w:rFonts w:ascii="Calibri" w:hAnsi="Calibri" w:cs="Calibri"/>
          <w:sz w:val="24"/>
          <w:szCs w:val="24"/>
        </w:rPr>
        <w:t>Sustainability reporting has emerged rapidly as a part of best business practice for the past decade (</w:t>
      </w:r>
      <w:proofErr w:type="spellStart"/>
      <w:r w:rsidRPr="00EB0F4E">
        <w:rPr>
          <w:rFonts w:ascii="Calibri" w:hAnsi="Calibri" w:cs="Calibri"/>
          <w:sz w:val="24"/>
          <w:szCs w:val="24"/>
        </w:rPr>
        <w:t>Stefanescu</w:t>
      </w:r>
      <w:proofErr w:type="spellEnd"/>
      <w:r w:rsidRPr="00EB0F4E">
        <w:rPr>
          <w:rFonts w:ascii="Calibri" w:hAnsi="Calibri" w:cs="Calibri"/>
          <w:sz w:val="24"/>
          <w:szCs w:val="24"/>
        </w:rPr>
        <w:t xml:space="preserve">, 2022; </w:t>
      </w:r>
      <w:proofErr w:type="spellStart"/>
      <w:r w:rsidRPr="00EB0F4E">
        <w:rPr>
          <w:rFonts w:ascii="Calibri" w:hAnsi="Calibri" w:cs="Calibri"/>
          <w:sz w:val="24"/>
          <w:szCs w:val="24"/>
        </w:rPr>
        <w:t>Sumarta</w:t>
      </w:r>
      <w:proofErr w:type="spellEnd"/>
      <w:r w:rsidRPr="00EB0F4E">
        <w:rPr>
          <w:rFonts w:ascii="Calibri" w:hAnsi="Calibri" w:cs="Calibri"/>
          <w:sz w:val="24"/>
          <w:szCs w:val="24"/>
        </w:rPr>
        <w:t xml:space="preserve"> et al., 2023). It has attracted considerable attention </w:t>
      </w:r>
      <w:r w:rsidRPr="00EB0F4E">
        <w:rPr>
          <w:rFonts w:ascii="Calibri" w:hAnsi="Calibri" w:cs="Calibri"/>
          <w:sz w:val="24"/>
          <w:szCs w:val="24"/>
        </w:rPr>
        <w:lastRenderedPageBreak/>
        <w:t>in large firms so that it becomes a part of management decision, accounting practice, and reporting practice (</w:t>
      </w:r>
      <w:proofErr w:type="spellStart"/>
      <w:r w:rsidRPr="00EB0F4E">
        <w:rPr>
          <w:rFonts w:ascii="Calibri" w:hAnsi="Calibri" w:cs="Calibri"/>
          <w:sz w:val="24"/>
          <w:szCs w:val="24"/>
        </w:rPr>
        <w:t>Amidjaya</w:t>
      </w:r>
      <w:proofErr w:type="spellEnd"/>
      <w:r w:rsidRPr="00EB0F4E">
        <w:rPr>
          <w:rFonts w:ascii="Calibri" w:hAnsi="Calibri" w:cs="Calibri"/>
          <w:sz w:val="24"/>
          <w:szCs w:val="24"/>
        </w:rPr>
        <w:t xml:space="preserve"> &amp; </w:t>
      </w:r>
      <w:proofErr w:type="spellStart"/>
      <w:r w:rsidRPr="00EB0F4E">
        <w:rPr>
          <w:rFonts w:ascii="Calibri" w:hAnsi="Calibri" w:cs="Calibri"/>
          <w:sz w:val="24"/>
          <w:szCs w:val="24"/>
        </w:rPr>
        <w:t>Widagdo</w:t>
      </w:r>
      <w:proofErr w:type="spellEnd"/>
      <w:r w:rsidRPr="00EB0F4E">
        <w:rPr>
          <w:rFonts w:ascii="Calibri" w:hAnsi="Calibri" w:cs="Calibri"/>
          <w:sz w:val="24"/>
          <w:szCs w:val="24"/>
        </w:rPr>
        <w:t>, 2019). In several countries, sustainability reporting has even become mandatory for firms to show firms' commitment to contributing to sustainable development goals (</w:t>
      </w:r>
      <w:proofErr w:type="spellStart"/>
      <w:r w:rsidRPr="00EB0F4E">
        <w:rPr>
          <w:rFonts w:ascii="Calibri" w:hAnsi="Calibri" w:cs="Calibri"/>
          <w:sz w:val="24"/>
          <w:szCs w:val="24"/>
        </w:rPr>
        <w:t>Ioannou</w:t>
      </w:r>
      <w:proofErr w:type="spellEnd"/>
      <w:r w:rsidRPr="00EB0F4E">
        <w:rPr>
          <w:rFonts w:ascii="Calibri" w:hAnsi="Calibri" w:cs="Calibri"/>
          <w:sz w:val="24"/>
          <w:szCs w:val="24"/>
        </w:rPr>
        <w:t xml:space="preserve"> &amp; </w:t>
      </w:r>
      <w:proofErr w:type="spellStart"/>
      <w:r w:rsidRPr="00EB0F4E">
        <w:rPr>
          <w:rFonts w:ascii="Calibri" w:hAnsi="Calibri" w:cs="Calibri"/>
          <w:sz w:val="24"/>
          <w:szCs w:val="24"/>
        </w:rPr>
        <w:t>Serafeim</w:t>
      </w:r>
      <w:proofErr w:type="spellEnd"/>
      <w:r w:rsidRPr="00EB0F4E">
        <w:rPr>
          <w:rFonts w:ascii="Calibri" w:hAnsi="Calibri" w:cs="Calibri"/>
          <w:sz w:val="24"/>
          <w:szCs w:val="24"/>
        </w:rPr>
        <w:t>, 2017). It is believed that the accomplishment of sustainable development targets can be realized better with the participation of the firms in private sector. It is essential to take the initiative to drive companies to adopt sustainability reporting and increase the quality as well as the impact of sustainability report (</w:t>
      </w:r>
      <w:proofErr w:type="spellStart"/>
      <w:r w:rsidRPr="00EB0F4E">
        <w:rPr>
          <w:rFonts w:ascii="Calibri" w:hAnsi="Calibri" w:cs="Calibri"/>
          <w:sz w:val="24"/>
          <w:szCs w:val="24"/>
        </w:rPr>
        <w:t>Gunawan</w:t>
      </w:r>
      <w:proofErr w:type="spellEnd"/>
      <w:r w:rsidRPr="00EB0F4E">
        <w:rPr>
          <w:rFonts w:ascii="Calibri" w:hAnsi="Calibri" w:cs="Calibri"/>
          <w:sz w:val="24"/>
          <w:szCs w:val="24"/>
        </w:rPr>
        <w:t xml:space="preserve"> et al., 2022). Also, there arises pressure to practice sustainability reporting (Al-</w:t>
      </w:r>
      <w:proofErr w:type="spellStart"/>
      <w:r w:rsidRPr="00EB0F4E">
        <w:rPr>
          <w:rFonts w:ascii="Calibri" w:hAnsi="Calibri" w:cs="Calibri"/>
          <w:sz w:val="24"/>
          <w:szCs w:val="24"/>
        </w:rPr>
        <w:t>Omoush</w:t>
      </w:r>
      <w:proofErr w:type="spellEnd"/>
      <w:r w:rsidRPr="00EB0F4E">
        <w:rPr>
          <w:rFonts w:ascii="Calibri" w:hAnsi="Calibri" w:cs="Calibri"/>
          <w:sz w:val="24"/>
          <w:szCs w:val="24"/>
        </w:rPr>
        <w:t>, 2022), more specifically in the emerging countries as the country and its people still face significant economic, social, and environmental problems (Singhania et al., 2023).</w:t>
      </w:r>
    </w:p>
    <w:p w14:paraId="12051588" w14:textId="77777777" w:rsidR="0069729B" w:rsidRPr="00EB0F4E" w:rsidRDefault="0069729B" w:rsidP="0069729B">
      <w:pPr>
        <w:spacing w:after="0" w:line="240" w:lineRule="auto"/>
        <w:ind w:firstLine="567"/>
        <w:jc w:val="both"/>
        <w:rPr>
          <w:rFonts w:ascii="Calibri" w:eastAsia="Calibri" w:hAnsi="Calibri" w:cs="Calibri"/>
          <w:sz w:val="24"/>
          <w:szCs w:val="24"/>
        </w:rPr>
      </w:pPr>
      <w:r w:rsidRPr="00EB0F4E">
        <w:rPr>
          <w:rFonts w:ascii="Calibri" w:hAnsi="Calibri" w:cs="Calibri"/>
          <w:sz w:val="24"/>
          <w:szCs w:val="24"/>
        </w:rPr>
        <w:t xml:space="preserve">Indonesia is suffering from sustainability issues various issues related to socio-economic and environmental issues </w:t>
      </w:r>
      <w:r w:rsidRPr="00EB0F4E">
        <w:rPr>
          <w:rFonts w:ascii="Calibri" w:eastAsia="Calibri" w:hAnsi="Calibri" w:cs="Calibri"/>
          <w:sz w:val="24"/>
          <w:szCs w:val="24"/>
        </w:rPr>
        <w:t>for the past decades (</w:t>
      </w:r>
      <w:proofErr w:type="spellStart"/>
      <w:r w:rsidRPr="00EB0F4E">
        <w:rPr>
          <w:rFonts w:ascii="Calibri" w:eastAsia="Calibri" w:hAnsi="Calibri" w:cs="Calibri"/>
          <w:sz w:val="24"/>
          <w:szCs w:val="24"/>
        </w:rPr>
        <w:t>Sumarta</w:t>
      </w:r>
      <w:proofErr w:type="spellEnd"/>
      <w:r w:rsidRPr="00EB0F4E">
        <w:rPr>
          <w:rFonts w:ascii="Calibri" w:eastAsia="Calibri" w:hAnsi="Calibri" w:cs="Calibri"/>
          <w:sz w:val="24"/>
          <w:szCs w:val="24"/>
        </w:rPr>
        <w:t xml:space="preserve"> et al., 2021a). The issues are dominated with natural resource exploitation, pollution, environmental damage, and poverty. Moreover, </w:t>
      </w:r>
      <w:proofErr w:type="spellStart"/>
      <w:r w:rsidRPr="00EB0F4E">
        <w:rPr>
          <w:rFonts w:ascii="Calibri" w:eastAsia="Calibri" w:hAnsi="Calibri" w:cs="Calibri"/>
          <w:sz w:val="24"/>
          <w:szCs w:val="24"/>
        </w:rPr>
        <w:t>Siregar</w:t>
      </w:r>
      <w:proofErr w:type="spellEnd"/>
      <w:r w:rsidRPr="00EB0F4E">
        <w:rPr>
          <w:rFonts w:ascii="Calibri" w:eastAsia="Calibri" w:hAnsi="Calibri" w:cs="Calibri"/>
          <w:sz w:val="24"/>
          <w:szCs w:val="24"/>
        </w:rPr>
        <w:t xml:space="preserve"> &amp; </w:t>
      </w:r>
      <w:proofErr w:type="spellStart"/>
      <w:r w:rsidRPr="00EB0F4E">
        <w:rPr>
          <w:rFonts w:ascii="Calibri" w:eastAsia="Calibri" w:hAnsi="Calibri" w:cs="Calibri"/>
          <w:sz w:val="24"/>
          <w:szCs w:val="24"/>
        </w:rPr>
        <w:t>Bachtiar</w:t>
      </w:r>
      <w:proofErr w:type="spellEnd"/>
      <w:r w:rsidRPr="00EB0F4E">
        <w:rPr>
          <w:rFonts w:ascii="Calibri" w:eastAsia="Calibri" w:hAnsi="Calibri" w:cs="Calibri"/>
          <w:sz w:val="24"/>
          <w:szCs w:val="24"/>
        </w:rPr>
        <w:t xml:space="preserve"> (2010) mention that there are many serious environmental issues caused by irresponsible companies. </w:t>
      </w:r>
      <w:r w:rsidRPr="00EB0F4E">
        <w:rPr>
          <w:rFonts w:ascii="Calibri" w:hAnsi="Calibri" w:cs="Calibri"/>
          <w:sz w:val="24"/>
          <w:szCs w:val="24"/>
        </w:rPr>
        <w:t>As a consequence of the increasing concern on sustainability initiatives, sustainability reporting practice, and existing sustainability issues, the demand for sustainability reporting is also increasing in the country (</w:t>
      </w:r>
      <w:proofErr w:type="spellStart"/>
      <w:r w:rsidRPr="00EB0F4E">
        <w:rPr>
          <w:rFonts w:ascii="Calibri" w:hAnsi="Calibri" w:cs="Calibri"/>
          <w:sz w:val="24"/>
          <w:szCs w:val="24"/>
        </w:rPr>
        <w:t>Gunawan</w:t>
      </w:r>
      <w:proofErr w:type="spellEnd"/>
      <w:r w:rsidRPr="00EB0F4E">
        <w:rPr>
          <w:rFonts w:ascii="Calibri" w:hAnsi="Calibri" w:cs="Calibri"/>
          <w:sz w:val="24"/>
          <w:szCs w:val="24"/>
        </w:rPr>
        <w:t xml:space="preserve"> et al., 2022). The companies thus face higher level of pressure to publish </w:t>
      </w:r>
      <w:r w:rsidRPr="00EB0F4E">
        <w:rPr>
          <w:rFonts w:ascii="Calibri" w:eastAsia="Calibri" w:hAnsi="Calibri" w:cs="Calibri"/>
          <w:sz w:val="24"/>
          <w:szCs w:val="24"/>
        </w:rPr>
        <w:t>sustainability report (Singhania et al., 2023).</w:t>
      </w:r>
      <w:r w:rsidRPr="00EB0F4E">
        <w:rPr>
          <w:rFonts w:ascii="Calibri" w:hAnsi="Calibri" w:cs="Calibri"/>
          <w:sz w:val="24"/>
          <w:szCs w:val="24"/>
        </w:rPr>
        <w:t xml:space="preserve"> Companies’ stakeholders believe that </w:t>
      </w:r>
      <w:r w:rsidRPr="00EB0F4E">
        <w:rPr>
          <w:rFonts w:ascii="Calibri" w:eastAsia="Calibri" w:hAnsi="Calibri" w:cs="Calibri"/>
          <w:sz w:val="24"/>
          <w:szCs w:val="24"/>
        </w:rPr>
        <w:t>sustainability reporting practice by Indonesian firms may provide support to overcome sustainability issues and contribute to achieving sustainable development goals (SDGs).</w:t>
      </w:r>
    </w:p>
    <w:p w14:paraId="6817B70B" w14:textId="77777777" w:rsidR="0069729B" w:rsidRPr="00EB0F4E" w:rsidRDefault="0069729B" w:rsidP="0069729B">
      <w:pPr>
        <w:spacing w:after="0" w:line="240" w:lineRule="auto"/>
        <w:ind w:firstLine="567"/>
        <w:jc w:val="both"/>
        <w:rPr>
          <w:rFonts w:ascii="Calibri" w:hAnsi="Calibri" w:cs="Calibri"/>
          <w:sz w:val="24"/>
          <w:szCs w:val="24"/>
        </w:rPr>
      </w:pPr>
      <w:r w:rsidRPr="00EB0F4E">
        <w:rPr>
          <w:rFonts w:ascii="Calibri" w:eastAsia="Calibri" w:hAnsi="Calibri" w:cs="Calibri"/>
          <w:sz w:val="24"/>
          <w:szCs w:val="24"/>
        </w:rPr>
        <w:t xml:space="preserve">In Indonesian context, sustainability reporting is not mandatory yet for most of the companies. </w:t>
      </w:r>
      <w:r w:rsidRPr="00EB0F4E">
        <w:rPr>
          <w:rFonts w:ascii="Calibri" w:hAnsi="Calibri" w:cs="Calibri"/>
          <w:sz w:val="24"/>
          <w:szCs w:val="24"/>
        </w:rPr>
        <w:t xml:space="preserve">Thus, the implementation of sustainability reporting cannot be considered optimum in Indonesia. Here, the participation of the companies is still considerably low. </w:t>
      </w:r>
      <w:r w:rsidRPr="00EB0F4E">
        <w:rPr>
          <w:rFonts w:ascii="Calibri" w:eastAsia="Calibri" w:hAnsi="Calibri" w:cs="Calibri"/>
          <w:sz w:val="24"/>
          <w:szCs w:val="24"/>
        </w:rPr>
        <w:t xml:space="preserve">In fact, there are only 49 Indonesian listed firms that published sustainability report, only 9% of all listed firms (Indonesian Financial Service Authority, 2017). Indeed, this statistic is in line with the study conducted by </w:t>
      </w:r>
      <w:proofErr w:type="spellStart"/>
      <w:r w:rsidRPr="00EB0F4E">
        <w:rPr>
          <w:rFonts w:ascii="Calibri" w:eastAsia="Calibri" w:hAnsi="Calibri" w:cs="Calibri"/>
          <w:sz w:val="24"/>
          <w:szCs w:val="24"/>
        </w:rPr>
        <w:t>Djajadikerta</w:t>
      </w:r>
      <w:proofErr w:type="spellEnd"/>
      <w:r w:rsidRPr="00EB0F4E">
        <w:rPr>
          <w:rFonts w:ascii="Calibri" w:eastAsia="Calibri" w:hAnsi="Calibri" w:cs="Calibri"/>
          <w:sz w:val="24"/>
          <w:szCs w:val="24"/>
        </w:rPr>
        <w:t xml:space="preserve"> &amp; </w:t>
      </w:r>
      <w:proofErr w:type="spellStart"/>
      <w:r w:rsidRPr="00EB0F4E">
        <w:rPr>
          <w:rFonts w:ascii="Calibri" w:eastAsia="Calibri" w:hAnsi="Calibri" w:cs="Calibri"/>
          <w:sz w:val="24"/>
          <w:szCs w:val="24"/>
        </w:rPr>
        <w:t>Trireksani</w:t>
      </w:r>
      <w:proofErr w:type="spellEnd"/>
      <w:r w:rsidRPr="00EB0F4E">
        <w:rPr>
          <w:rFonts w:ascii="Calibri" w:eastAsia="Calibri" w:hAnsi="Calibri" w:cs="Calibri"/>
          <w:sz w:val="24"/>
          <w:szCs w:val="24"/>
        </w:rPr>
        <w:t xml:space="preserve"> (2012) who find that the information disclosure practice in social and environmental aspects by Indonesian companies is still at an early stage.</w:t>
      </w:r>
      <w:r w:rsidRPr="00EB0F4E">
        <w:rPr>
          <w:rFonts w:ascii="Calibri" w:hAnsi="Calibri" w:cs="Calibri"/>
          <w:sz w:val="24"/>
          <w:szCs w:val="24"/>
        </w:rPr>
        <w:t xml:space="preserve"> Thus, it requires an urgent improvement to increase the contribution of the companies in achieving sustainable development goals (SDGs). </w:t>
      </w:r>
      <w:r w:rsidRPr="00EB0F4E">
        <w:rPr>
          <w:rFonts w:ascii="Calibri" w:eastAsia="Calibri" w:hAnsi="Calibri" w:cs="Calibri"/>
          <w:sz w:val="24"/>
          <w:szCs w:val="24"/>
        </w:rPr>
        <w:t xml:space="preserve">In regards with sustainability reporting improvement in Indonesia, the Indonesia Financial Service Authority (OJK) issues the roadmap for sustainable finance in 2014. The roadmap is a master plan to implement sustainable finance in which sustainability reporting improvement becomes a part of it. In practice, the roadmap selects the banking and finance sector to implement it earlier than other industry sectors. It is relevant with the fact that the banking sector hold the highest contribution of sustainability reporting in Indonesia with around 30% of total reporting entities. Further, OJK Regulation (POJK) Number 51 of 2017 is also issued to specifically regulate sustainable finance implementation in banking sector </w:t>
      </w:r>
      <w:r w:rsidRPr="00EB0F4E">
        <w:rPr>
          <w:rFonts w:ascii="Calibri" w:hAnsi="Calibri" w:cs="Calibri"/>
          <w:sz w:val="24"/>
          <w:szCs w:val="24"/>
        </w:rPr>
        <w:t>(</w:t>
      </w:r>
      <w:proofErr w:type="spellStart"/>
      <w:r w:rsidRPr="00EB0F4E">
        <w:rPr>
          <w:rFonts w:ascii="Calibri" w:eastAsia="Calibri" w:hAnsi="Calibri" w:cs="Calibri"/>
          <w:sz w:val="24"/>
          <w:szCs w:val="24"/>
        </w:rPr>
        <w:t>Maheresmi</w:t>
      </w:r>
      <w:proofErr w:type="spellEnd"/>
      <w:r w:rsidRPr="00EB0F4E">
        <w:rPr>
          <w:rFonts w:ascii="Calibri" w:eastAsia="Calibri" w:hAnsi="Calibri" w:cs="Calibri"/>
          <w:sz w:val="24"/>
          <w:szCs w:val="24"/>
        </w:rPr>
        <w:t xml:space="preserve"> et al., 2023) in which the enforcement is applied to foreign banks and banks with large assets.</w:t>
      </w:r>
    </w:p>
    <w:p w14:paraId="70D5FEC4" w14:textId="77777777" w:rsidR="0069729B" w:rsidRPr="00EB0F4E" w:rsidRDefault="0069729B" w:rsidP="0069729B">
      <w:pPr>
        <w:spacing w:after="0" w:line="240" w:lineRule="auto"/>
        <w:ind w:firstLine="720"/>
        <w:jc w:val="both"/>
        <w:rPr>
          <w:rFonts w:ascii="Calibri" w:eastAsia="Calibri" w:hAnsi="Calibri" w:cs="Calibri"/>
          <w:sz w:val="24"/>
          <w:szCs w:val="24"/>
        </w:rPr>
      </w:pPr>
    </w:p>
    <w:p w14:paraId="3235E69D" w14:textId="77777777" w:rsidR="0069729B" w:rsidRDefault="0069729B" w:rsidP="0069729B">
      <w:pPr>
        <w:spacing w:after="0" w:line="240" w:lineRule="auto"/>
        <w:contextualSpacing/>
        <w:jc w:val="both"/>
        <w:rPr>
          <w:rFonts w:ascii="Calibri" w:eastAsia="SimSun" w:hAnsi="Calibri" w:cs="Calibri"/>
          <w:b/>
          <w:iCs/>
          <w:noProof/>
          <w:color w:val="000000"/>
          <w:sz w:val="24"/>
          <w:szCs w:val="24"/>
        </w:rPr>
      </w:pPr>
      <w:bookmarkStart w:id="1" w:name="_Toc34811664"/>
    </w:p>
    <w:p w14:paraId="2B0A83FC" w14:textId="77777777" w:rsidR="0069729B" w:rsidRDefault="0069729B" w:rsidP="0069729B">
      <w:pPr>
        <w:spacing w:after="0" w:line="240" w:lineRule="auto"/>
        <w:contextualSpacing/>
        <w:jc w:val="both"/>
        <w:rPr>
          <w:rFonts w:ascii="Calibri" w:eastAsia="SimSun" w:hAnsi="Calibri" w:cs="Calibri"/>
          <w:b/>
          <w:iCs/>
          <w:noProof/>
          <w:color w:val="000000"/>
          <w:sz w:val="24"/>
          <w:szCs w:val="24"/>
        </w:rPr>
      </w:pPr>
    </w:p>
    <w:p w14:paraId="48C4E2A8" w14:textId="77777777" w:rsidR="0069729B" w:rsidRDefault="0069729B" w:rsidP="0069729B">
      <w:pPr>
        <w:spacing w:after="0" w:line="240" w:lineRule="auto"/>
        <w:contextualSpacing/>
        <w:jc w:val="both"/>
        <w:rPr>
          <w:rFonts w:ascii="Calibri" w:eastAsia="SimSun" w:hAnsi="Calibri" w:cs="Calibri"/>
          <w:b/>
          <w:iCs/>
          <w:noProof/>
          <w:color w:val="000000"/>
          <w:sz w:val="24"/>
          <w:szCs w:val="24"/>
        </w:rPr>
      </w:pPr>
    </w:p>
    <w:p w14:paraId="38F2D571" w14:textId="77777777" w:rsidR="0069729B" w:rsidRDefault="0069729B" w:rsidP="0069729B">
      <w:pPr>
        <w:spacing w:after="0" w:line="240" w:lineRule="auto"/>
        <w:contextualSpacing/>
        <w:jc w:val="both"/>
        <w:rPr>
          <w:rFonts w:ascii="Calibri" w:eastAsia="SimSun" w:hAnsi="Calibri" w:cs="Calibri"/>
          <w:b/>
          <w:iCs/>
          <w:noProof/>
          <w:color w:val="000000"/>
          <w:sz w:val="24"/>
          <w:szCs w:val="24"/>
        </w:rPr>
      </w:pPr>
    </w:p>
    <w:p w14:paraId="4972A34F" w14:textId="77777777" w:rsidR="0069729B" w:rsidRDefault="0069729B" w:rsidP="0069729B">
      <w:pPr>
        <w:spacing w:after="0" w:line="240" w:lineRule="auto"/>
        <w:contextualSpacing/>
        <w:jc w:val="both"/>
        <w:rPr>
          <w:rFonts w:ascii="Calibri" w:eastAsia="SimSun" w:hAnsi="Calibri" w:cs="Calibri"/>
          <w:b/>
          <w:iCs/>
          <w:noProof/>
          <w:color w:val="000000"/>
          <w:sz w:val="24"/>
          <w:szCs w:val="24"/>
        </w:rPr>
      </w:pPr>
    </w:p>
    <w:p w14:paraId="0A66CA38" w14:textId="77777777" w:rsidR="0069729B" w:rsidRDefault="0069729B" w:rsidP="0069729B">
      <w:pPr>
        <w:spacing w:after="0" w:line="240" w:lineRule="auto"/>
        <w:contextualSpacing/>
        <w:jc w:val="both"/>
        <w:rPr>
          <w:rFonts w:ascii="Calibri" w:eastAsia="SimSun" w:hAnsi="Calibri" w:cs="Calibri"/>
          <w:b/>
          <w:iCs/>
          <w:noProof/>
          <w:color w:val="000000"/>
          <w:sz w:val="24"/>
          <w:szCs w:val="24"/>
        </w:rPr>
      </w:pPr>
    </w:p>
    <w:p w14:paraId="569D8464" w14:textId="3E38F3AD" w:rsidR="0069729B" w:rsidRDefault="0069729B" w:rsidP="0069729B">
      <w:pPr>
        <w:spacing w:after="0" w:line="240" w:lineRule="auto"/>
        <w:contextualSpacing/>
        <w:jc w:val="center"/>
        <w:rPr>
          <w:rFonts w:ascii="Calibri" w:eastAsia="SimSun" w:hAnsi="Calibri" w:cs="Calibri"/>
          <w:b/>
          <w:iCs/>
          <w:noProof/>
          <w:color w:val="000000"/>
          <w:sz w:val="24"/>
          <w:szCs w:val="24"/>
        </w:rPr>
      </w:pPr>
      <w:r w:rsidRPr="00EB0F4E">
        <w:rPr>
          <w:rFonts w:ascii="Calibri" w:eastAsia="Calibri" w:hAnsi="Calibri" w:cs="Calibri"/>
          <w:noProof/>
          <w:sz w:val="24"/>
          <w:szCs w:val="24"/>
        </w:rPr>
        <w:lastRenderedPageBreak/>
        <w:drawing>
          <wp:inline distT="0" distB="0" distL="0" distR="0" wp14:anchorId="29E91029" wp14:editId="6D1DC657">
            <wp:extent cx="3777916" cy="2237874"/>
            <wp:effectExtent l="0" t="0" r="6985"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C9B9E96" w14:textId="73ECDD59" w:rsidR="0069729B" w:rsidRPr="0069729B" w:rsidRDefault="0069729B" w:rsidP="0069729B">
      <w:pPr>
        <w:spacing w:after="0" w:line="240" w:lineRule="auto"/>
        <w:contextualSpacing/>
        <w:jc w:val="both"/>
        <w:rPr>
          <w:rFonts w:ascii="Calibri" w:eastAsia="SimSun" w:hAnsi="Calibri" w:cs="Calibri"/>
          <w:bCs/>
          <w:iCs/>
          <w:noProof/>
          <w:color w:val="000000"/>
          <w:sz w:val="24"/>
          <w:szCs w:val="24"/>
        </w:rPr>
      </w:pPr>
      <w:r w:rsidRPr="0069729B">
        <w:rPr>
          <w:rFonts w:ascii="Calibri" w:eastAsia="SimSun" w:hAnsi="Calibri" w:cs="Calibri"/>
          <w:bCs/>
          <w:iCs/>
          <w:noProof/>
          <w:color w:val="000000"/>
          <w:sz w:val="24"/>
          <w:szCs w:val="24"/>
        </w:rPr>
        <w:t>Figure 1. Sustainability Reporting in Indonesia by Industry Sector</w:t>
      </w:r>
      <w:bookmarkEnd w:id="1"/>
    </w:p>
    <w:p w14:paraId="32B78F7B" w14:textId="77777777" w:rsidR="0069729B" w:rsidRPr="0069729B" w:rsidRDefault="0069729B" w:rsidP="0069729B">
      <w:pPr>
        <w:spacing w:after="0" w:line="240" w:lineRule="auto"/>
        <w:jc w:val="both"/>
        <w:rPr>
          <w:rFonts w:ascii="Calibri" w:eastAsia="Calibri" w:hAnsi="Calibri" w:cs="Calibri"/>
          <w:sz w:val="24"/>
          <w:szCs w:val="24"/>
        </w:rPr>
      </w:pPr>
      <w:r w:rsidRPr="0069729B">
        <w:rPr>
          <w:rFonts w:ascii="Calibri" w:eastAsia="Calibri" w:hAnsi="Calibri" w:cs="Calibri"/>
          <w:sz w:val="24"/>
          <w:szCs w:val="24"/>
        </w:rPr>
        <w:t>Source: Indonesia Financial Service Authority (2017)</w:t>
      </w:r>
    </w:p>
    <w:p w14:paraId="4708342E" w14:textId="77777777" w:rsidR="0069729B" w:rsidRPr="00EB0F4E" w:rsidRDefault="0069729B" w:rsidP="0069729B">
      <w:pPr>
        <w:spacing w:after="0" w:line="240" w:lineRule="auto"/>
        <w:ind w:firstLine="720"/>
        <w:jc w:val="both"/>
        <w:rPr>
          <w:rFonts w:ascii="Calibri" w:eastAsia="Calibri" w:hAnsi="Calibri" w:cs="Calibri"/>
          <w:i/>
          <w:iCs/>
          <w:sz w:val="24"/>
          <w:szCs w:val="24"/>
        </w:rPr>
      </w:pPr>
    </w:p>
    <w:p w14:paraId="20C6A207" w14:textId="77777777" w:rsidR="0069729B" w:rsidRPr="00EB0F4E" w:rsidRDefault="0069729B" w:rsidP="0069729B">
      <w:pPr>
        <w:spacing w:after="0" w:line="240" w:lineRule="auto"/>
        <w:jc w:val="both"/>
        <w:rPr>
          <w:rFonts w:ascii="Calibri" w:hAnsi="Calibri" w:cs="Calibri"/>
          <w:sz w:val="24"/>
          <w:szCs w:val="24"/>
        </w:rPr>
      </w:pPr>
      <w:r w:rsidRPr="00EB0F4E">
        <w:rPr>
          <w:rFonts w:ascii="Calibri" w:eastAsia="Calibri" w:hAnsi="Calibri" w:cs="Calibri"/>
          <w:sz w:val="24"/>
          <w:szCs w:val="24"/>
        </w:rPr>
        <w:tab/>
        <w:t>Considering the selection of the banking sector as the initiator of sustainability reporting practice in Indonesia</w:t>
      </w:r>
      <w:r w:rsidRPr="00EB0F4E">
        <w:rPr>
          <w:rStyle w:val="FootnoteReference"/>
          <w:rFonts w:ascii="Calibri" w:hAnsi="Calibri" w:cs="Calibri"/>
          <w:sz w:val="24"/>
          <w:szCs w:val="24"/>
        </w:rPr>
        <w:footnoteReference w:id="1"/>
      </w:r>
      <w:r w:rsidRPr="00EB0F4E">
        <w:rPr>
          <w:rFonts w:ascii="Calibri" w:eastAsia="Calibri" w:hAnsi="Calibri" w:cs="Calibri"/>
          <w:sz w:val="24"/>
          <w:szCs w:val="24"/>
        </w:rPr>
        <w:t>, investigating the drivers of sustainability reporting in Indonesian listed banks become interesting, especially during the implementation of the roadmap of sustainable finance that was issued in 2014. Most studies in Indonesian context examines the effect of corporate governance characteristics on sustainability reporting such as several board characteristics and audit committee characteristics (</w:t>
      </w:r>
      <w:proofErr w:type="spellStart"/>
      <w:r w:rsidRPr="00EB0F4E">
        <w:rPr>
          <w:rFonts w:ascii="Calibri" w:eastAsia="Calibri" w:hAnsi="Calibri" w:cs="Calibri"/>
          <w:sz w:val="24"/>
          <w:szCs w:val="24"/>
        </w:rPr>
        <w:t>Amidjaya</w:t>
      </w:r>
      <w:proofErr w:type="spellEnd"/>
      <w:r w:rsidRPr="00EB0F4E">
        <w:rPr>
          <w:rFonts w:ascii="Calibri" w:eastAsia="Calibri" w:hAnsi="Calibri" w:cs="Calibri"/>
          <w:sz w:val="24"/>
          <w:szCs w:val="24"/>
        </w:rPr>
        <w:t xml:space="preserve"> &amp; </w:t>
      </w:r>
      <w:proofErr w:type="spellStart"/>
      <w:r w:rsidRPr="00EB0F4E">
        <w:rPr>
          <w:rFonts w:ascii="Calibri" w:eastAsia="Calibri" w:hAnsi="Calibri" w:cs="Calibri"/>
          <w:sz w:val="24"/>
          <w:szCs w:val="24"/>
        </w:rPr>
        <w:t>Widadgo</w:t>
      </w:r>
      <w:proofErr w:type="spellEnd"/>
      <w:r w:rsidRPr="00EB0F4E">
        <w:rPr>
          <w:rFonts w:ascii="Calibri" w:eastAsia="Calibri" w:hAnsi="Calibri" w:cs="Calibri"/>
          <w:sz w:val="24"/>
          <w:szCs w:val="24"/>
        </w:rPr>
        <w:t xml:space="preserve">, 2019; </w:t>
      </w:r>
      <w:proofErr w:type="spellStart"/>
      <w:r w:rsidRPr="00EB0F4E">
        <w:rPr>
          <w:rFonts w:ascii="Calibri" w:eastAsia="Calibri" w:hAnsi="Calibri" w:cs="Calibri"/>
          <w:sz w:val="24"/>
          <w:szCs w:val="24"/>
        </w:rPr>
        <w:t>Farisyi</w:t>
      </w:r>
      <w:proofErr w:type="spellEnd"/>
      <w:r w:rsidRPr="00EB0F4E">
        <w:rPr>
          <w:rFonts w:ascii="Calibri" w:eastAsia="Calibri" w:hAnsi="Calibri" w:cs="Calibri"/>
          <w:sz w:val="24"/>
          <w:szCs w:val="24"/>
        </w:rPr>
        <w:t xml:space="preserve"> et al., 2022). </w:t>
      </w:r>
      <w:r w:rsidRPr="00EB0F4E">
        <w:rPr>
          <w:rFonts w:ascii="Calibri" w:hAnsi="Calibri" w:cs="Calibri"/>
          <w:sz w:val="24"/>
          <w:szCs w:val="24"/>
        </w:rPr>
        <w:t>However, the existence of empirical studies that investigate the effect of board diversity is very limited. This study comprehensively examines the effect of board diversity that is represented by gender diversity, nationality diversity, age diversity, and education diversity. This research brings contribution to sustainability reporting literature in Indonesia as one of the earliest studies that comprehensively investigate various board diversity. The study also provides recommendations for the companies and business regulators to improve sustainability reporting practice. The rest of the paper is presented with the following sections: literature review; materials and method; results and discussion, and conclusion.</w:t>
      </w:r>
    </w:p>
    <w:p w14:paraId="7F42ADCC" w14:textId="77777777" w:rsidR="0069729B" w:rsidRPr="00EB0F4E" w:rsidRDefault="0069729B" w:rsidP="0069729B">
      <w:pPr>
        <w:widowControl w:val="0"/>
        <w:autoSpaceDE w:val="0"/>
        <w:autoSpaceDN w:val="0"/>
        <w:adjustRightInd w:val="0"/>
        <w:spacing w:after="0" w:line="240" w:lineRule="auto"/>
        <w:jc w:val="both"/>
        <w:rPr>
          <w:rFonts w:ascii="Calibri" w:hAnsi="Calibri" w:cs="Calibri"/>
          <w:b/>
          <w:bCs/>
          <w:sz w:val="24"/>
          <w:szCs w:val="24"/>
        </w:rPr>
      </w:pPr>
    </w:p>
    <w:p w14:paraId="3C126159" w14:textId="77777777" w:rsidR="0069729B" w:rsidRPr="00EB0F4E" w:rsidRDefault="0069729B" w:rsidP="0069729B">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sz w:val="24"/>
          <w:szCs w:val="24"/>
        </w:rPr>
        <w:t>Literature Review</w:t>
      </w:r>
    </w:p>
    <w:p w14:paraId="282D5F16" w14:textId="77777777" w:rsidR="0069729B" w:rsidRPr="00EB0F4E" w:rsidRDefault="0069729B" w:rsidP="0069729B">
      <w:pPr>
        <w:widowControl w:val="0"/>
        <w:autoSpaceDE w:val="0"/>
        <w:autoSpaceDN w:val="0"/>
        <w:adjustRightInd w:val="0"/>
        <w:spacing w:after="0" w:line="240" w:lineRule="auto"/>
        <w:jc w:val="both"/>
        <w:rPr>
          <w:rFonts w:ascii="Calibri" w:hAnsi="Calibri" w:cs="Calibri"/>
          <w:i/>
          <w:iCs/>
          <w:sz w:val="24"/>
          <w:szCs w:val="24"/>
        </w:rPr>
      </w:pPr>
      <w:r w:rsidRPr="00EB0F4E">
        <w:rPr>
          <w:rFonts w:ascii="Calibri" w:hAnsi="Calibri" w:cs="Calibri"/>
          <w:i/>
          <w:iCs/>
          <w:sz w:val="24"/>
          <w:szCs w:val="24"/>
        </w:rPr>
        <w:t>Agency theory, sustainability reporting, and board diversity</w:t>
      </w:r>
    </w:p>
    <w:p w14:paraId="6FA59AF8" w14:textId="77777777" w:rsidR="0069729B" w:rsidRPr="00EB0F4E" w:rsidRDefault="0069729B" w:rsidP="0069729B">
      <w:pPr>
        <w:spacing w:after="0" w:line="240" w:lineRule="auto"/>
        <w:ind w:firstLine="567"/>
        <w:jc w:val="both"/>
        <w:rPr>
          <w:rFonts w:ascii="Calibri" w:eastAsia="SimSun" w:hAnsi="Calibri" w:cs="Calibri"/>
          <w:kern w:val="2"/>
          <w:sz w:val="24"/>
          <w:szCs w:val="24"/>
          <w:lang w:eastAsia="zh-CN"/>
        </w:rPr>
      </w:pPr>
      <w:r w:rsidRPr="00EB0F4E">
        <w:rPr>
          <w:rFonts w:ascii="Calibri" w:eastAsia="SimSun" w:hAnsi="Calibri" w:cs="Calibri"/>
          <w:kern w:val="2"/>
          <w:sz w:val="24"/>
          <w:szCs w:val="24"/>
          <w:lang w:eastAsia="zh-CN"/>
        </w:rPr>
        <w:t>Agency theory is a broadly used theory that explains the agency relationship between the principal and agent. It is often used in social science literature in explaining the relationship that happens in a business. In agency theory, the principals have certain interests that should be fulfilled by the agent. This theory further develops extensively so that the principals and agents vary depends on the interests covered (</w:t>
      </w:r>
      <w:proofErr w:type="spellStart"/>
      <w:r w:rsidRPr="00EB0F4E">
        <w:rPr>
          <w:rFonts w:ascii="Calibri" w:eastAsia="SimSun" w:hAnsi="Calibri" w:cs="Calibri"/>
          <w:kern w:val="2"/>
          <w:sz w:val="24"/>
          <w:szCs w:val="24"/>
          <w:lang w:eastAsia="zh-CN"/>
        </w:rPr>
        <w:t>Mantysaari</w:t>
      </w:r>
      <w:proofErr w:type="spellEnd"/>
      <w:r w:rsidRPr="00EB0F4E">
        <w:rPr>
          <w:rFonts w:ascii="Calibri" w:eastAsia="SimSun" w:hAnsi="Calibri" w:cs="Calibri"/>
          <w:kern w:val="2"/>
          <w:sz w:val="24"/>
          <w:szCs w:val="24"/>
          <w:lang w:eastAsia="zh-CN"/>
        </w:rPr>
        <w:t xml:space="preserve">, 2010), one of which is the relationship between the stakeholders (public, governments, business regulators, etc.) as principal and the company as agent. Every agency relationship has potential to suffer agency problems due to conflict of interests and information asymmetry. The theory builds the assumption following the individualistic and opportunistic nature of human so that the agent tends to prioritize personal interests and maximize their benefits. Jensen (1986) argues that agent will take a decision that will provide greater benefits for his/her interests </w:t>
      </w:r>
      <w:r w:rsidRPr="00EB0F4E">
        <w:rPr>
          <w:rFonts w:ascii="Calibri" w:eastAsia="SimSun" w:hAnsi="Calibri" w:cs="Calibri"/>
          <w:kern w:val="2"/>
          <w:sz w:val="24"/>
          <w:szCs w:val="24"/>
          <w:lang w:eastAsia="zh-CN"/>
        </w:rPr>
        <w:lastRenderedPageBreak/>
        <w:t xml:space="preserve">(opportunistic behavior) compared to the interests of stakeholders. The viewpoint of the study adopts the behavior-based approach in </w:t>
      </w:r>
      <w:proofErr w:type="spellStart"/>
      <w:r w:rsidRPr="00EB0F4E">
        <w:rPr>
          <w:rFonts w:ascii="Calibri" w:eastAsia="SimSun" w:hAnsi="Calibri" w:cs="Calibri"/>
          <w:kern w:val="2"/>
          <w:sz w:val="24"/>
          <w:szCs w:val="24"/>
          <w:lang w:eastAsia="zh-CN"/>
        </w:rPr>
        <w:t>Carr</w:t>
      </w:r>
      <w:proofErr w:type="spellEnd"/>
      <w:r w:rsidRPr="00EB0F4E">
        <w:rPr>
          <w:rFonts w:ascii="Calibri" w:eastAsia="SimSun" w:hAnsi="Calibri" w:cs="Calibri"/>
          <w:kern w:val="2"/>
          <w:sz w:val="24"/>
          <w:szCs w:val="24"/>
          <w:lang w:eastAsia="zh-CN"/>
        </w:rPr>
        <w:t xml:space="preserve"> &amp; Brower's agency model (2000) in which principals must monitor the behavior of the agent to ensure that the agent acts for principals’ interest. Principals monitor the agent to ensure that the agent acts in accordance with principal’s interests. </w:t>
      </w:r>
    </w:p>
    <w:p w14:paraId="3F36FCFA" w14:textId="77777777" w:rsidR="0069729B" w:rsidRPr="00EB0F4E" w:rsidRDefault="0069729B" w:rsidP="0069729B">
      <w:pPr>
        <w:spacing w:after="0" w:line="240" w:lineRule="auto"/>
        <w:ind w:firstLine="567"/>
        <w:jc w:val="both"/>
        <w:rPr>
          <w:rFonts w:ascii="Calibri" w:hAnsi="Calibri" w:cs="Calibri"/>
          <w:i/>
          <w:iCs/>
          <w:sz w:val="24"/>
          <w:szCs w:val="24"/>
        </w:rPr>
      </w:pPr>
      <w:r w:rsidRPr="00EB0F4E">
        <w:rPr>
          <w:rFonts w:ascii="Calibri" w:eastAsia="SimSun" w:hAnsi="Calibri" w:cs="Calibri"/>
          <w:kern w:val="2"/>
          <w:sz w:val="24"/>
          <w:szCs w:val="24"/>
          <w:lang w:eastAsia="zh-CN"/>
        </w:rPr>
        <w:t>This theory also applies in regards with sustainability reporting (</w:t>
      </w:r>
      <w:proofErr w:type="spellStart"/>
      <w:r w:rsidRPr="00EB0F4E">
        <w:rPr>
          <w:rFonts w:ascii="Calibri" w:eastAsia="SimSun" w:hAnsi="Calibri" w:cs="Calibri"/>
          <w:kern w:val="2"/>
          <w:sz w:val="24"/>
          <w:szCs w:val="24"/>
          <w:lang w:eastAsia="zh-CN"/>
        </w:rPr>
        <w:t>Vitolla</w:t>
      </w:r>
      <w:proofErr w:type="spellEnd"/>
      <w:r w:rsidRPr="00EB0F4E">
        <w:rPr>
          <w:rFonts w:ascii="Calibri" w:eastAsia="SimSun" w:hAnsi="Calibri" w:cs="Calibri"/>
          <w:kern w:val="2"/>
          <w:sz w:val="24"/>
          <w:szCs w:val="24"/>
          <w:lang w:eastAsia="zh-CN"/>
        </w:rPr>
        <w:t xml:space="preserve"> et al., 2020). The stakeholders as principal nowadays have a great demand for sustainability reporting as one of their interests (De Villiers et al., 2017). However, the company management as agent may not be willing to practice it and pursue more on financial performance. Therefore, the monitoring mechanism is implemented in which the principal is represented by the board of commissioners (will be mentioned as “board” in this study) to ensure that their interests are fulfilled by the agent, one of which is to practice sustainability reporting. </w:t>
      </w:r>
      <w:r w:rsidRPr="00EB0F4E">
        <w:rPr>
          <w:rFonts w:ascii="Calibri" w:hAnsi="Calibri" w:cs="Calibri"/>
          <w:sz w:val="24"/>
          <w:szCs w:val="24"/>
        </w:rPr>
        <w:t xml:space="preserve">The board has held considerable contribution in the decision making, including their involvement in corporate sustainability reporting. However, the existence of empirical studies that investigate the effect of board diversity is very limited. This study comprehensively examines the effect of board diversity that is represented by gender diversity, national diversity, age diversity, and education diversity. </w:t>
      </w:r>
    </w:p>
    <w:p w14:paraId="3B93D76A" w14:textId="77777777" w:rsidR="0069729B" w:rsidRPr="00EB0F4E" w:rsidRDefault="0069729B" w:rsidP="0069729B">
      <w:pPr>
        <w:widowControl w:val="0"/>
        <w:autoSpaceDE w:val="0"/>
        <w:autoSpaceDN w:val="0"/>
        <w:adjustRightInd w:val="0"/>
        <w:spacing w:after="0" w:line="240" w:lineRule="auto"/>
        <w:jc w:val="both"/>
        <w:rPr>
          <w:rFonts w:ascii="Calibri" w:hAnsi="Calibri" w:cs="Calibri"/>
          <w:i/>
          <w:iCs/>
          <w:sz w:val="24"/>
          <w:szCs w:val="24"/>
        </w:rPr>
      </w:pPr>
    </w:p>
    <w:p w14:paraId="31BBDA1F" w14:textId="77777777" w:rsidR="0069729B" w:rsidRPr="00EB0F4E" w:rsidRDefault="0069729B" w:rsidP="0069729B">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sz w:val="24"/>
          <w:szCs w:val="24"/>
        </w:rPr>
        <w:t>Hypothesis Development</w:t>
      </w:r>
    </w:p>
    <w:p w14:paraId="0EAB9E39" w14:textId="77777777" w:rsidR="0069729B" w:rsidRPr="00EB0F4E" w:rsidRDefault="0069729B" w:rsidP="0069729B">
      <w:pPr>
        <w:widowControl w:val="0"/>
        <w:autoSpaceDE w:val="0"/>
        <w:autoSpaceDN w:val="0"/>
        <w:adjustRightInd w:val="0"/>
        <w:spacing w:after="0" w:line="240" w:lineRule="auto"/>
        <w:jc w:val="both"/>
        <w:rPr>
          <w:rFonts w:ascii="Calibri" w:hAnsi="Calibri" w:cs="Calibri"/>
          <w:i/>
          <w:iCs/>
          <w:sz w:val="24"/>
          <w:szCs w:val="24"/>
        </w:rPr>
      </w:pPr>
      <w:r w:rsidRPr="00EB0F4E">
        <w:rPr>
          <w:rFonts w:ascii="Calibri" w:hAnsi="Calibri" w:cs="Calibri"/>
          <w:i/>
          <w:iCs/>
          <w:sz w:val="24"/>
          <w:szCs w:val="24"/>
        </w:rPr>
        <w:t>Board's gender diversity and sustainability reporting</w:t>
      </w:r>
    </w:p>
    <w:p w14:paraId="68E1A4B5" w14:textId="6E299628" w:rsidR="0069729B" w:rsidRDefault="0069729B" w:rsidP="0069729B">
      <w:pPr>
        <w:widowControl w:val="0"/>
        <w:autoSpaceDE w:val="0"/>
        <w:autoSpaceDN w:val="0"/>
        <w:adjustRightInd w:val="0"/>
        <w:spacing w:after="0" w:line="240" w:lineRule="auto"/>
        <w:jc w:val="both"/>
        <w:rPr>
          <w:rFonts w:ascii="Calibri" w:hAnsi="Calibri" w:cs="Calibri"/>
          <w:noProof/>
          <w:sz w:val="24"/>
          <w:szCs w:val="24"/>
        </w:rPr>
      </w:pPr>
      <w:r w:rsidRPr="00EB0F4E">
        <w:rPr>
          <w:rFonts w:ascii="Calibri" w:hAnsi="Calibri" w:cs="Calibri"/>
          <w:sz w:val="24"/>
          <w:szCs w:val="24"/>
        </w:rPr>
        <w:tab/>
        <w:t>Gender has a distinct influence on the decision-making process and the execution of corporate strategies aimed at attaining specific performance levels (Huang, 2013), specifically through the implementation of strategic decisions (Tang et al., 2018). The board’s gender diversity also becomes a significant consideration in defining corporate business orientation. Therefore, in this study, gender is taken as one of the proxies representing the board diversity. The concept of gender diversity within company’s top management has become a prominent topic in affecting sustainability initiatives, driven by a combination of mandatory and voluntary regulations implemented by different countries (</w:t>
      </w:r>
      <w:proofErr w:type="spellStart"/>
      <w:r w:rsidRPr="00EB0F4E">
        <w:rPr>
          <w:rFonts w:ascii="Calibri" w:hAnsi="Calibri" w:cs="Calibri"/>
          <w:sz w:val="24"/>
          <w:szCs w:val="24"/>
        </w:rPr>
        <w:t>Nicolo</w:t>
      </w:r>
      <w:proofErr w:type="spellEnd"/>
      <w:r w:rsidRPr="00EB0F4E">
        <w:rPr>
          <w:rFonts w:ascii="Calibri" w:hAnsi="Calibri" w:cs="Calibri"/>
          <w:sz w:val="24"/>
          <w:szCs w:val="24"/>
        </w:rPr>
        <w:t xml:space="preserve"> et al., 2022). Empirical studies have indicated that the presence of women on boards has an influence on firm performance (Arora, 2021; </w:t>
      </w:r>
      <w:proofErr w:type="spellStart"/>
      <w:r w:rsidRPr="00EB0F4E">
        <w:rPr>
          <w:rFonts w:ascii="Calibri" w:hAnsi="Calibri" w:cs="Calibri"/>
          <w:sz w:val="24"/>
          <w:szCs w:val="24"/>
        </w:rPr>
        <w:t>Duppati</w:t>
      </w:r>
      <w:proofErr w:type="spellEnd"/>
      <w:r w:rsidRPr="00EB0F4E">
        <w:rPr>
          <w:rFonts w:ascii="Calibri" w:hAnsi="Calibri" w:cs="Calibri"/>
          <w:sz w:val="24"/>
          <w:szCs w:val="24"/>
        </w:rPr>
        <w:t xml:space="preserve"> et al., 2020). More specifically, Fernandez et al (2019) suggest a positive correlation between gender diversity on boards and sustainability practices. Similar findings have been observed by </w:t>
      </w:r>
      <w:r>
        <w:rPr>
          <w:rFonts w:ascii="Calibri" w:hAnsi="Calibri" w:cs="Calibri"/>
          <w:sz w:val="24"/>
          <w:szCs w:val="24"/>
        </w:rPr>
        <w:t>(</w:t>
      </w:r>
      <w:r w:rsidRPr="00EB0F4E">
        <w:rPr>
          <w:rFonts w:ascii="Calibri" w:hAnsi="Calibri" w:cs="Calibri"/>
          <w:sz w:val="24"/>
          <w:szCs w:val="24"/>
        </w:rPr>
        <w:t>Zahid et al.</w:t>
      </w:r>
      <w:r>
        <w:rPr>
          <w:rFonts w:ascii="Calibri" w:hAnsi="Calibri" w:cs="Calibri"/>
          <w:sz w:val="24"/>
          <w:szCs w:val="24"/>
        </w:rPr>
        <w:t>,</w:t>
      </w:r>
      <w:r w:rsidRPr="00EB0F4E">
        <w:rPr>
          <w:rFonts w:ascii="Calibri" w:hAnsi="Calibri" w:cs="Calibri"/>
          <w:sz w:val="24"/>
          <w:szCs w:val="24"/>
        </w:rPr>
        <w:t xml:space="preserve"> 2020). Additionally, </w:t>
      </w:r>
      <w:proofErr w:type="spellStart"/>
      <w:r w:rsidRPr="00EB0F4E">
        <w:rPr>
          <w:rFonts w:ascii="Calibri" w:hAnsi="Calibri" w:cs="Calibri"/>
          <w:sz w:val="24"/>
          <w:szCs w:val="24"/>
        </w:rPr>
        <w:t>Nicolo</w:t>
      </w:r>
      <w:proofErr w:type="spellEnd"/>
      <w:r w:rsidRPr="00EB0F4E">
        <w:rPr>
          <w:rFonts w:ascii="Calibri" w:hAnsi="Calibri" w:cs="Calibri"/>
          <w:sz w:val="24"/>
          <w:szCs w:val="24"/>
        </w:rPr>
        <w:t xml:space="preserve"> et al (2022) discovers a positive relationship between the proportion of women on boards and the disclosure of sustainability information. Another empirical study conducted by Issa &amp; Fang (2019) also supports the existence of a statistically significant link between the number of female directors and CSR information disclosure. </w:t>
      </w:r>
      <w:r w:rsidRPr="00EB0F4E">
        <w:rPr>
          <w:rFonts w:ascii="Calibri" w:hAnsi="Calibri" w:cs="Calibri"/>
          <w:noProof/>
          <w:sz w:val="24"/>
          <w:szCs w:val="24"/>
        </w:rPr>
        <w:t>Thus, we hypothesize that</w:t>
      </w:r>
    </w:p>
    <w:p w14:paraId="465E9B84" w14:textId="77777777" w:rsidR="0069729B" w:rsidRPr="00EB0F4E" w:rsidRDefault="0069729B" w:rsidP="0069729B">
      <w:pPr>
        <w:widowControl w:val="0"/>
        <w:autoSpaceDE w:val="0"/>
        <w:autoSpaceDN w:val="0"/>
        <w:adjustRightInd w:val="0"/>
        <w:spacing w:after="0" w:line="240" w:lineRule="auto"/>
        <w:jc w:val="both"/>
        <w:rPr>
          <w:rFonts w:ascii="Calibri" w:hAnsi="Calibri" w:cs="Calibri"/>
          <w:noProof/>
          <w:sz w:val="24"/>
          <w:szCs w:val="24"/>
        </w:rPr>
      </w:pPr>
    </w:p>
    <w:p w14:paraId="33788FD8" w14:textId="77777777" w:rsidR="0069729B" w:rsidRPr="00EB0F4E" w:rsidRDefault="0069729B" w:rsidP="0069729B">
      <w:pPr>
        <w:widowControl w:val="0"/>
        <w:autoSpaceDE w:val="0"/>
        <w:autoSpaceDN w:val="0"/>
        <w:adjustRightInd w:val="0"/>
        <w:spacing w:after="0" w:line="240" w:lineRule="auto"/>
        <w:jc w:val="both"/>
        <w:rPr>
          <w:rFonts w:ascii="Calibri" w:hAnsi="Calibri" w:cs="Calibri"/>
          <w:b/>
          <w:bCs/>
          <w:i/>
          <w:iCs/>
          <w:sz w:val="24"/>
          <w:szCs w:val="24"/>
        </w:rPr>
      </w:pPr>
      <w:r w:rsidRPr="00EB0F4E">
        <w:rPr>
          <w:rFonts w:ascii="Calibri" w:hAnsi="Calibri" w:cs="Calibri"/>
          <w:b/>
          <w:bCs/>
          <w:i/>
          <w:iCs/>
          <w:sz w:val="24"/>
          <w:szCs w:val="24"/>
        </w:rPr>
        <w:t>H</w:t>
      </w:r>
      <w:r w:rsidRPr="00EB0F4E">
        <w:rPr>
          <w:rFonts w:ascii="Calibri" w:hAnsi="Calibri" w:cs="Calibri"/>
          <w:b/>
          <w:bCs/>
          <w:i/>
          <w:iCs/>
          <w:sz w:val="24"/>
          <w:szCs w:val="24"/>
          <w:vertAlign w:val="subscript"/>
        </w:rPr>
        <w:t>1</w:t>
      </w:r>
      <w:r w:rsidRPr="00EB0F4E">
        <w:rPr>
          <w:rFonts w:ascii="Calibri" w:hAnsi="Calibri" w:cs="Calibri"/>
          <w:b/>
          <w:bCs/>
          <w:i/>
          <w:iCs/>
          <w:sz w:val="24"/>
          <w:szCs w:val="24"/>
        </w:rPr>
        <w:t>. Board's gender diversity has positive effect on sustainability reporting</w:t>
      </w:r>
    </w:p>
    <w:p w14:paraId="33330E03" w14:textId="77777777" w:rsidR="0069729B" w:rsidRPr="00EB0F4E" w:rsidRDefault="0069729B" w:rsidP="0069729B">
      <w:pPr>
        <w:widowControl w:val="0"/>
        <w:autoSpaceDE w:val="0"/>
        <w:autoSpaceDN w:val="0"/>
        <w:adjustRightInd w:val="0"/>
        <w:spacing w:after="0" w:line="240" w:lineRule="auto"/>
        <w:jc w:val="both"/>
        <w:rPr>
          <w:rFonts w:ascii="Calibri" w:hAnsi="Calibri" w:cs="Calibri"/>
          <w:i/>
          <w:iCs/>
          <w:sz w:val="24"/>
          <w:szCs w:val="24"/>
        </w:rPr>
      </w:pPr>
    </w:p>
    <w:p w14:paraId="48AD59F0" w14:textId="77777777" w:rsidR="0069729B" w:rsidRPr="00EB0F4E" w:rsidRDefault="0069729B" w:rsidP="0069729B">
      <w:pPr>
        <w:widowControl w:val="0"/>
        <w:autoSpaceDE w:val="0"/>
        <w:autoSpaceDN w:val="0"/>
        <w:adjustRightInd w:val="0"/>
        <w:spacing w:after="0" w:line="240" w:lineRule="auto"/>
        <w:jc w:val="both"/>
        <w:rPr>
          <w:rFonts w:ascii="Calibri" w:hAnsi="Calibri" w:cs="Calibri"/>
          <w:i/>
          <w:iCs/>
          <w:sz w:val="24"/>
          <w:szCs w:val="24"/>
        </w:rPr>
      </w:pPr>
      <w:r w:rsidRPr="00EB0F4E">
        <w:rPr>
          <w:rFonts w:ascii="Calibri" w:hAnsi="Calibri" w:cs="Calibri"/>
          <w:i/>
          <w:iCs/>
          <w:sz w:val="24"/>
          <w:szCs w:val="24"/>
        </w:rPr>
        <w:t>Board's national diversity and sustainability reporting</w:t>
      </w:r>
    </w:p>
    <w:p w14:paraId="3D6025A7" w14:textId="5BD1BC34" w:rsidR="0069729B" w:rsidRDefault="0069729B" w:rsidP="0069729B">
      <w:pPr>
        <w:widowControl w:val="0"/>
        <w:tabs>
          <w:tab w:val="left" w:pos="567"/>
        </w:tabs>
        <w:autoSpaceDE w:val="0"/>
        <w:autoSpaceDN w:val="0"/>
        <w:adjustRightInd w:val="0"/>
        <w:spacing w:after="0" w:line="240" w:lineRule="auto"/>
        <w:jc w:val="both"/>
        <w:rPr>
          <w:rFonts w:ascii="Calibri" w:hAnsi="Calibri" w:cs="Calibri"/>
          <w:noProof/>
          <w:sz w:val="24"/>
          <w:szCs w:val="24"/>
        </w:rPr>
      </w:pPr>
      <w:r w:rsidRPr="00EB0F4E">
        <w:rPr>
          <w:rFonts w:ascii="Calibri" w:hAnsi="Calibri" w:cs="Calibri"/>
          <w:sz w:val="24"/>
          <w:szCs w:val="24"/>
        </w:rPr>
        <w:tab/>
        <w:t xml:space="preserve">Indonesia is one of the emerging economies in the world in which there are significant foreign investment in the country’s economy, especially in banking industry (Lindblad, 2015). This has implication on the potential nationality diversity within company’s board. Board’s nationality diversity is also a potential factor that contribute to improving sustainability practices in a company. The presence of board members can be diverse considering the composition of local and foreign board members. Nationality diversity enables the board members to support each other in running their duties and improve the business operation </w:t>
      </w:r>
      <w:r w:rsidRPr="00EB0F4E">
        <w:rPr>
          <w:rFonts w:ascii="Calibri" w:hAnsi="Calibri" w:cs="Calibri"/>
          <w:sz w:val="24"/>
          <w:szCs w:val="24"/>
        </w:rPr>
        <w:lastRenderedPageBreak/>
        <w:t>within a company, including the matters related to corporate sustainability. In addition to having local board members that has more insights about national issues where the business operates, the presence of foreign board members will help in various aspects related to sustainability as stated in several previous studies (Zhang et al., 2018). Previous research conducted in emerging countries has shown that the presence of board members from the developed countries can contribute to the enhancement of a company's sustainability efforts by virtue of their higher level of engagement regarding sustainability matters (</w:t>
      </w:r>
      <w:proofErr w:type="spellStart"/>
      <w:r w:rsidRPr="00EB0F4E">
        <w:rPr>
          <w:rFonts w:ascii="Calibri" w:hAnsi="Calibri" w:cs="Calibri"/>
          <w:sz w:val="24"/>
          <w:szCs w:val="24"/>
        </w:rPr>
        <w:t>Setiawan</w:t>
      </w:r>
      <w:proofErr w:type="spellEnd"/>
      <w:r w:rsidRPr="00EB0F4E">
        <w:rPr>
          <w:rFonts w:ascii="Calibri" w:hAnsi="Calibri" w:cs="Calibri"/>
          <w:sz w:val="24"/>
          <w:szCs w:val="24"/>
        </w:rPr>
        <w:t xml:space="preserve"> et al., 2021). The existence of foreign members within a company's board is crucial as they possess extensive international experience (Chen et al., 2017) that support sustainability reporting practice. </w:t>
      </w:r>
      <w:proofErr w:type="spellStart"/>
      <w:r w:rsidRPr="00EB0F4E">
        <w:rPr>
          <w:rFonts w:ascii="Calibri" w:hAnsi="Calibri" w:cs="Calibri"/>
          <w:sz w:val="24"/>
          <w:szCs w:val="24"/>
        </w:rPr>
        <w:t>Sarhan</w:t>
      </w:r>
      <w:proofErr w:type="spellEnd"/>
      <w:r w:rsidRPr="00EB0F4E">
        <w:rPr>
          <w:rFonts w:ascii="Calibri" w:hAnsi="Calibri" w:cs="Calibri"/>
          <w:sz w:val="24"/>
          <w:szCs w:val="24"/>
        </w:rPr>
        <w:t xml:space="preserve"> et al (2019) suggest that foreign board members are more likely to carry out their duties more independently and offer fresh perspectives from an international standpoint. Foreign board members also tend to have great commitment on their job. It is important to support company’s sustainability efforts (</w:t>
      </w:r>
      <w:proofErr w:type="spellStart"/>
      <w:r w:rsidRPr="00EB0F4E">
        <w:rPr>
          <w:rFonts w:ascii="Calibri" w:hAnsi="Calibri" w:cs="Calibri"/>
          <w:sz w:val="24"/>
          <w:szCs w:val="24"/>
        </w:rPr>
        <w:t>Tandoh</w:t>
      </w:r>
      <w:proofErr w:type="spellEnd"/>
      <w:r w:rsidRPr="00EB0F4E">
        <w:rPr>
          <w:rFonts w:ascii="Calibri" w:hAnsi="Calibri" w:cs="Calibri"/>
          <w:sz w:val="24"/>
          <w:szCs w:val="24"/>
        </w:rPr>
        <w:t xml:space="preserve"> et al., 2022). These differences in experiences, knowledge, norms, religion, language, and culture between countries necessitate the involvement of foreign directors in supporting international initiatives, particularly in the aspect of corporate sustainability (Khan et al., 2019). </w:t>
      </w:r>
      <w:r w:rsidRPr="00EB0F4E">
        <w:rPr>
          <w:rFonts w:ascii="Calibri" w:hAnsi="Calibri" w:cs="Calibri"/>
          <w:noProof/>
          <w:sz w:val="24"/>
          <w:szCs w:val="24"/>
        </w:rPr>
        <w:t>Therefore, we hypothesize that</w:t>
      </w:r>
    </w:p>
    <w:p w14:paraId="182DF202" w14:textId="77777777" w:rsidR="0069729B" w:rsidRPr="00EB0F4E" w:rsidRDefault="0069729B" w:rsidP="0069729B">
      <w:pPr>
        <w:widowControl w:val="0"/>
        <w:tabs>
          <w:tab w:val="left" w:pos="567"/>
        </w:tabs>
        <w:autoSpaceDE w:val="0"/>
        <w:autoSpaceDN w:val="0"/>
        <w:adjustRightInd w:val="0"/>
        <w:spacing w:after="0" w:line="240" w:lineRule="auto"/>
        <w:jc w:val="both"/>
        <w:rPr>
          <w:rFonts w:ascii="Calibri" w:hAnsi="Calibri" w:cs="Calibri"/>
          <w:noProof/>
          <w:sz w:val="24"/>
          <w:szCs w:val="24"/>
        </w:rPr>
      </w:pPr>
    </w:p>
    <w:p w14:paraId="2C914CDD" w14:textId="77777777" w:rsidR="0069729B" w:rsidRPr="00EB0F4E" w:rsidRDefault="0069729B" w:rsidP="0069729B">
      <w:pPr>
        <w:widowControl w:val="0"/>
        <w:autoSpaceDE w:val="0"/>
        <w:autoSpaceDN w:val="0"/>
        <w:adjustRightInd w:val="0"/>
        <w:spacing w:after="0" w:line="240" w:lineRule="auto"/>
        <w:jc w:val="both"/>
        <w:rPr>
          <w:rFonts w:ascii="Calibri" w:hAnsi="Calibri" w:cs="Calibri"/>
          <w:b/>
          <w:bCs/>
          <w:i/>
          <w:iCs/>
          <w:sz w:val="24"/>
          <w:szCs w:val="24"/>
        </w:rPr>
      </w:pPr>
      <w:r w:rsidRPr="00EB0F4E">
        <w:rPr>
          <w:rFonts w:ascii="Calibri" w:hAnsi="Calibri" w:cs="Calibri"/>
          <w:b/>
          <w:bCs/>
          <w:i/>
          <w:iCs/>
          <w:sz w:val="24"/>
          <w:szCs w:val="24"/>
        </w:rPr>
        <w:t>H</w:t>
      </w:r>
      <w:r w:rsidRPr="00EB0F4E">
        <w:rPr>
          <w:rFonts w:ascii="Calibri" w:hAnsi="Calibri" w:cs="Calibri"/>
          <w:b/>
          <w:bCs/>
          <w:i/>
          <w:iCs/>
          <w:sz w:val="24"/>
          <w:szCs w:val="24"/>
          <w:vertAlign w:val="subscript"/>
        </w:rPr>
        <w:t>2</w:t>
      </w:r>
      <w:r w:rsidRPr="00EB0F4E">
        <w:rPr>
          <w:rFonts w:ascii="Calibri" w:hAnsi="Calibri" w:cs="Calibri"/>
          <w:b/>
          <w:bCs/>
          <w:i/>
          <w:iCs/>
          <w:sz w:val="24"/>
          <w:szCs w:val="24"/>
        </w:rPr>
        <w:t>. Board's national diversity has positive effect on sustainability reporting</w:t>
      </w:r>
    </w:p>
    <w:p w14:paraId="5D3E81EA" w14:textId="77777777" w:rsidR="0069729B" w:rsidRPr="00EB0F4E" w:rsidRDefault="0069729B" w:rsidP="0069729B">
      <w:pPr>
        <w:widowControl w:val="0"/>
        <w:autoSpaceDE w:val="0"/>
        <w:autoSpaceDN w:val="0"/>
        <w:adjustRightInd w:val="0"/>
        <w:spacing w:after="0" w:line="240" w:lineRule="auto"/>
        <w:jc w:val="both"/>
        <w:rPr>
          <w:rFonts w:ascii="Calibri" w:hAnsi="Calibri" w:cs="Calibri"/>
          <w:sz w:val="24"/>
          <w:szCs w:val="24"/>
        </w:rPr>
      </w:pPr>
    </w:p>
    <w:p w14:paraId="420AE0B9" w14:textId="77777777" w:rsidR="0069729B" w:rsidRPr="00EB0F4E" w:rsidRDefault="0069729B" w:rsidP="0069729B">
      <w:pPr>
        <w:widowControl w:val="0"/>
        <w:autoSpaceDE w:val="0"/>
        <w:autoSpaceDN w:val="0"/>
        <w:adjustRightInd w:val="0"/>
        <w:spacing w:after="0" w:line="240" w:lineRule="auto"/>
        <w:jc w:val="both"/>
        <w:rPr>
          <w:rFonts w:ascii="Calibri" w:hAnsi="Calibri" w:cs="Calibri"/>
          <w:i/>
          <w:iCs/>
          <w:sz w:val="24"/>
          <w:szCs w:val="24"/>
        </w:rPr>
      </w:pPr>
      <w:r w:rsidRPr="00EB0F4E">
        <w:rPr>
          <w:rFonts w:ascii="Calibri" w:hAnsi="Calibri" w:cs="Calibri"/>
          <w:i/>
          <w:iCs/>
          <w:sz w:val="24"/>
          <w:szCs w:val="24"/>
        </w:rPr>
        <w:t>Board's age diversity and sustainability reporting</w:t>
      </w:r>
    </w:p>
    <w:p w14:paraId="365BF692" w14:textId="2C5D7C11" w:rsidR="0069729B" w:rsidRDefault="0069729B" w:rsidP="0069729B">
      <w:pPr>
        <w:widowControl w:val="0"/>
        <w:tabs>
          <w:tab w:val="left" w:pos="567"/>
        </w:tabs>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ab/>
        <w:t>Age basically has influence on someone's mindset and awareness. In the case of board members and sustainability reporting practice, the age of the board members has the potential to influence the sustainability reporting practices in the companies in Indonesia. The literature generally shows two views that support that the age diversity of board members will support the practice of sustainability reporting (Manner, 2010; Prabowo et al., 2017; Zhang et al., 2018). The first view is that older board members tend to be more ethical (Zhang et al., 2018) than younger board members (</w:t>
      </w:r>
      <w:proofErr w:type="spellStart"/>
      <w:r w:rsidRPr="00EB0F4E">
        <w:rPr>
          <w:rFonts w:ascii="Calibri" w:hAnsi="Calibri" w:cs="Calibri"/>
          <w:sz w:val="24"/>
          <w:szCs w:val="24"/>
        </w:rPr>
        <w:t>Godos-Díez</w:t>
      </w:r>
      <w:proofErr w:type="spellEnd"/>
      <w:r w:rsidRPr="00EB0F4E">
        <w:rPr>
          <w:rFonts w:ascii="Calibri" w:hAnsi="Calibri" w:cs="Calibri"/>
          <w:sz w:val="24"/>
          <w:szCs w:val="24"/>
        </w:rPr>
        <w:t xml:space="preserve"> et al., 2011). On the other hand, the second view argues that younger directors will tend to be more open to new business practices where young directors generally get a lot of new insights from the outside world regarding new and contemporary business issues (</w:t>
      </w:r>
      <w:proofErr w:type="spellStart"/>
      <w:r w:rsidRPr="00EB0F4E">
        <w:rPr>
          <w:rFonts w:ascii="Calibri" w:hAnsi="Calibri" w:cs="Calibri"/>
          <w:sz w:val="24"/>
          <w:szCs w:val="24"/>
        </w:rPr>
        <w:t>Sumarta</w:t>
      </w:r>
      <w:proofErr w:type="spellEnd"/>
      <w:r w:rsidRPr="00EB0F4E">
        <w:rPr>
          <w:rFonts w:ascii="Calibri" w:hAnsi="Calibri" w:cs="Calibri"/>
          <w:sz w:val="24"/>
          <w:szCs w:val="24"/>
        </w:rPr>
        <w:t xml:space="preserve"> et al., 2021a). Valente &amp; Atkinson (2019) also mentions that the majority of millennials do believe that business should help achieve sustainable development. Therefore, younger board members have more potential to consider sustainability report practices to be implemented in companies. With the support of existing literature, the research hypothesis is formulated as follows</w:t>
      </w:r>
    </w:p>
    <w:p w14:paraId="5A3B3497" w14:textId="77777777" w:rsidR="0069729B" w:rsidRPr="00EB0F4E" w:rsidRDefault="0069729B" w:rsidP="0069729B">
      <w:pPr>
        <w:widowControl w:val="0"/>
        <w:tabs>
          <w:tab w:val="left" w:pos="567"/>
        </w:tabs>
        <w:autoSpaceDE w:val="0"/>
        <w:autoSpaceDN w:val="0"/>
        <w:adjustRightInd w:val="0"/>
        <w:spacing w:after="0" w:line="240" w:lineRule="auto"/>
        <w:jc w:val="both"/>
        <w:rPr>
          <w:rFonts w:ascii="Calibri" w:hAnsi="Calibri" w:cs="Calibri"/>
          <w:sz w:val="24"/>
          <w:szCs w:val="24"/>
        </w:rPr>
      </w:pPr>
    </w:p>
    <w:p w14:paraId="010EFEF5" w14:textId="77777777" w:rsidR="0069729B" w:rsidRPr="00EB0F4E" w:rsidRDefault="0069729B" w:rsidP="0069729B">
      <w:pPr>
        <w:widowControl w:val="0"/>
        <w:autoSpaceDE w:val="0"/>
        <w:autoSpaceDN w:val="0"/>
        <w:adjustRightInd w:val="0"/>
        <w:spacing w:after="0" w:line="240" w:lineRule="auto"/>
        <w:jc w:val="both"/>
        <w:rPr>
          <w:rFonts w:ascii="Calibri" w:hAnsi="Calibri" w:cs="Calibri"/>
          <w:b/>
          <w:bCs/>
          <w:i/>
          <w:iCs/>
          <w:sz w:val="24"/>
          <w:szCs w:val="24"/>
        </w:rPr>
      </w:pPr>
      <w:r w:rsidRPr="00EB0F4E">
        <w:rPr>
          <w:rFonts w:ascii="Calibri" w:hAnsi="Calibri" w:cs="Calibri"/>
          <w:b/>
          <w:bCs/>
          <w:i/>
          <w:iCs/>
          <w:sz w:val="24"/>
          <w:szCs w:val="24"/>
        </w:rPr>
        <w:t>H</w:t>
      </w:r>
      <w:r w:rsidRPr="00EB0F4E">
        <w:rPr>
          <w:rFonts w:ascii="Calibri" w:hAnsi="Calibri" w:cs="Calibri"/>
          <w:b/>
          <w:bCs/>
          <w:i/>
          <w:iCs/>
          <w:sz w:val="24"/>
          <w:szCs w:val="24"/>
          <w:vertAlign w:val="subscript"/>
        </w:rPr>
        <w:t>3</w:t>
      </w:r>
      <w:r w:rsidRPr="00EB0F4E">
        <w:rPr>
          <w:rFonts w:ascii="Calibri" w:hAnsi="Calibri" w:cs="Calibri"/>
          <w:b/>
          <w:bCs/>
          <w:i/>
          <w:iCs/>
          <w:sz w:val="24"/>
          <w:szCs w:val="24"/>
        </w:rPr>
        <w:t>. Board's age diversity has positive effect on sustainability reporting</w:t>
      </w:r>
    </w:p>
    <w:p w14:paraId="3757AE28" w14:textId="77777777" w:rsidR="0069729B" w:rsidRPr="00EB0F4E" w:rsidRDefault="0069729B" w:rsidP="0069729B">
      <w:pPr>
        <w:widowControl w:val="0"/>
        <w:autoSpaceDE w:val="0"/>
        <w:autoSpaceDN w:val="0"/>
        <w:adjustRightInd w:val="0"/>
        <w:spacing w:after="0" w:line="240" w:lineRule="auto"/>
        <w:jc w:val="both"/>
        <w:rPr>
          <w:rFonts w:ascii="Calibri" w:hAnsi="Calibri" w:cs="Calibri"/>
          <w:b/>
          <w:bCs/>
          <w:sz w:val="24"/>
          <w:szCs w:val="24"/>
        </w:rPr>
      </w:pPr>
    </w:p>
    <w:p w14:paraId="39C1145E" w14:textId="77777777" w:rsidR="0069729B" w:rsidRPr="00EB0F4E" w:rsidRDefault="0069729B" w:rsidP="0069729B">
      <w:pPr>
        <w:widowControl w:val="0"/>
        <w:autoSpaceDE w:val="0"/>
        <w:autoSpaceDN w:val="0"/>
        <w:adjustRightInd w:val="0"/>
        <w:spacing w:after="0" w:line="240" w:lineRule="auto"/>
        <w:jc w:val="both"/>
        <w:rPr>
          <w:rFonts w:ascii="Calibri" w:hAnsi="Calibri" w:cs="Calibri"/>
          <w:i/>
          <w:iCs/>
          <w:sz w:val="24"/>
          <w:szCs w:val="24"/>
        </w:rPr>
      </w:pPr>
      <w:r w:rsidRPr="00EB0F4E">
        <w:rPr>
          <w:rFonts w:ascii="Calibri" w:hAnsi="Calibri" w:cs="Calibri"/>
          <w:i/>
          <w:iCs/>
          <w:sz w:val="24"/>
          <w:szCs w:val="24"/>
        </w:rPr>
        <w:t>Board's education diversity and sustainability reporting</w:t>
      </w:r>
    </w:p>
    <w:p w14:paraId="3F37254D" w14:textId="16AD75C6" w:rsidR="0069729B" w:rsidRDefault="0069729B" w:rsidP="0069729B">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ab/>
        <w:t xml:space="preserve">In the context of corporate boards, the educational background of board members can significantly impact their awareness of relevant issues within their field of discipline, consequently shaping their styles and actions (Amore et al., 2019). Notably, environmental awareness is considered a crucial quality for board members (Huang et al., 2019), and this can be supported by diverse educational background (Meyer, 2015). Research suggests that managers with economics degrees tend to prioritize CSR (Manner, 2010). Meanwhile, graduates majoring in natural sciences tend to exhibit higher levels of pro-environmental concern. On the other hand, board members with humanities education backgrounds tend to </w:t>
      </w:r>
      <w:r w:rsidRPr="00EB0F4E">
        <w:rPr>
          <w:rFonts w:ascii="Calibri" w:hAnsi="Calibri" w:cs="Calibri"/>
          <w:sz w:val="24"/>
          <w:szCs w:val="24"/>
        </w:rPr>
        <w:lastRenderedPageBreak/>
        <w:t>demonstrate proactive initiatives concerning social implications and adhere to environmental standards while sociology and psychology backgrounds may also support sustainability initiatives in a company as these educational backgrounds are more inclined to consider cooperative decisions that consider the interests of various stakeholders (</w:t>
      </w:r>
      <w:proofErr w:type="spellStart"/>
      <w:r w:rsidRPr="00EB0F4E">
        <w:rPr>
          <w:rFonts w:ascii="Calibri" w:hAnsi="Calibri" w:cs="Calibri"/>
          <w:sz w:val="24"/>
          <w:szCs w:val="24"/>
        </w:rPr>
        <w:t>Sumarta</w:t>
      </w:r>
      <w:proofErr w:type="spellEnd"/>
      <w:r w:rsidRPr="00EB0F4E">
        <w:rPr>
          <w:rFonts w:ascii="Calibri" w:hAnsi="Calibri" w:cs="Calibri"/>
          <w:sz w:val="24"/>
          <w:szCs w:val="24"/>
        </w:rPr>
        <w:t xml:space="preserve"> et al., 2021a). Considering the importance of educational background in corporate sustainability (Amore et al., 2019), the diversity in education of the board members can influence decision-making, particularly in relation to environmental aspects. In this regard, board members can make decisions concerning environmental issues, ultimately leading to improved environmental performance (Walls &amp; </w:t>
      </w:r>
      <w:proofErr w:type="spellStart"/>
      <w:r w:rsidRPr="00EB0F4E">
        <w:rPr>
          <w:rFonts w:ascii="Calibri" w:hAnsi="Calibri" w:cs="Calibri"/>
          <w:sz w:val="24"/>
          <w:szCs w:val="24"/>
        </w:rPr>
        <w:t>Berrone</w:t>
      </w:r>
      <w:proofErr w:type="spellEnd"/>
      <w:r w:rsidRPr="00EB0F4E">
        <w:rPr>
          <w:rFonts w:ascii="Calibri" w:hAnsi="Calibri" w:cs="Calibri"/>
          <w:sz w:val="24"/>
          <w:szCs w:val="24"/>
        </w:rPr>
        <w:t>, 2017). Therefore, the education diversity among the board members is expected to promote better sustainability reporting practices. Based on the arguments above, the hypothesis in this study is as follows</w:t>
      </w:r>
    </w:p>
    <w:p w14:paraId="178BF490" w14:textId="77777777" w:rsidR="0069729B" w:rsidRPr="00EB0F4E" w:rsidRDefault="0069729B" w:rsidP="0069729B">
      <w:pPr>
        <w:widowControl w:val="0"/>
        <w:autoSpaceDE w:val="0"/>
        <w:autoSpaceDN w:val="0"/>
        <w:adjustRightInd w:val="0"/>
        <w:spacing w:after="0" w:line="240" w:lineRule="auto"/>
        <w:jc w:val="both"/>
        <w:rPr>
          <w:rFonts w:ascii="Calibri" w:hAnsi="Calibri" w:cs="Calibri"/>
          <w:sz w:val="24"/>
          <w:szCs w:val="24"/>
        </w:rPr>
      </w:pPr>
    </w:p>
    <w:p w14:paraId="419EDBEE" w14:textId="77777777" w:rsidR="0069729B" w:rsidRPr="00EB0F4E" w:rsidRDefault="0069729B" w:rsidP="0069729B">
      <w:pPr>
        <w:widowControl w:val="0"/>
        <w:autoSpaceDE w:val="0"/>
        <w:autoSpaceDN w:val="0"/>
        <w:adjustRightInd w:val="0"/>
        <w:spacing w:after="0" w:line="240" w:lineRule="auto"/>
        <w:jc w:val="both"/>
        <w:rPr>
          <w:rFonts w:ascii="Calibri" w:hAnsi="Calibri" w:cs="Calibri"/>
          <w:b/>
          <w:bCs/>
          <w:i/>
          <w:iCs/>
          <w:sz w:val="24"/>
          <w:szCs w:val="24"/>
        </w:rPr>
      </w:pPr>
      <w:r w:rsidRPr="00EB0F4E">
        <w:rPr>
          <w:rFonts w:ascii="Calibri" w:hAnsi="Calibri" w:cs="Calibri"/>
          <w:b/>
          <w:bCs/>
          <w:i/>
          <w:iCs/>
          <w:sz w:val="24"/>
          <w:szCs w:val="24"/>
        </w:rPr>
        <w:t>H</w:t>
      </w:r>
      <w:r w:rsidRPr="00EB0F4E">
        <w:rPr>
          <w:rFonts w:ascii="Calibri" w:hAnsi="Calibri" w:cs="Calibri"/>
          <w:b/>
          <w:bCs/>
          <w:i/>
          <w:iCs/>
          <w:sz w:val="24"/>
          <w:szCs w:val="24"/>
          <w:vertAlign w:val="subscript"/>
        </w:rPr>
        <w:t>4</w:t>
      </w:r>
      <w:r w:rsidRPr="00EB0F4E">
        <w:rPr>
          <w:rFonts w:ascii="Calibri" w:hAnsi="Calibri" w:cs="Calibri"/>
          <w:b/>
          <w:bCs/>
          <w:i/>
          <w:iCs/>
          <w:sz w:val="24"/>
          <w:szCs w:val="24"/>
        </w:rPr>
        <w:t>. Board's education diversity has positive effect on sustainability reporting</w:t>
      </w:r>
    </w:p>
    <w:p w14:paraId="61F87FCC" w14:textId="77777777" w:rsidR="0069729B" w:rsidRPr="00EB0F4E" w:rsidRDefault="0069729B" w:rsidP="0069729B">
      <w:pPr>
        <w:widowControl w:val="0"/>
        <w:autoSpaceDE w:val="0"/>
        <w:autoSpaceDN w:val="0"/>
        <w:adjustRightInd w:val="0"/>
        <w:spacing w:after="0" w:line="240" w:lineRule="auto"/>
        <w:jc w:val="both"/>
        <w:rPr>
          <w:rFonts w:ascii="Calibri" w:hAnsi="Calibri" w:cs="Calibri"/>
          <w:b/>
          <w:bCs/>
          <w:sz w:val="24"/>
          <w:szCs w:val="24"/>
        </w:rPr>
      </w:pPr>
    </w:p>
    <w:p w14:paraId="154BA6EE" w14:textId="77777777" w:rsidR="0069729B" w:rsidRPr="00EB0F4E" w:rsidRDefault="0069729B" w:rsidP="0069729B">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sz w:val="24"/>
          <w:szCs w:val="24"/>
        </w:rPr>
        <w:t>Materials and Method</w:t>
      </w:r>
    </w:p>
    <w:p w14:paraId="124FA891" w14:textId="77777777" w:rsidR="0069729B" w:rsidRPr="00EB0F4E" w:rsidRDefault="0069729B" w:rsidP="0069729B">
      <w:pPr>
        <w:widowControl w:val="0"/>
        <w:autoSpaceDE w:val="0"/>
        <w:autoSpaceDN w:val="0"/>
        <w:adjustRightInd w:val="0"/>
        <w:spacing w:after="0" w:line="240" w:lineRule="auto"/>
        <w:jc w:val="both"/>
        <w:rPr>
          <w:rFonts w:ascii="Calibri" w:hAnsi="Calibri" w:cs="Calibri"/>
          <w:i/>
          <w:iCs/>
          <w:sz w:val="24"/>
          <w:szCs w:val="24"/>
        </w:rPr>
      </w:pPr>
      <w:r w:rsidRPr="00EB0F4E">
        <w:rPr>
          <w:rFonts w:ascii="Calibri" w:hAnsi="Calibri" w:cs="Calibri"/>
          <w:i/>
          <w:iCs/>
          <w:sz w:val="24"/>
          <w:szCs w:val="24"/>
        </w:rPr>
        <w:t>Population, Samples, and Research Data</w:t>
      </w:r>
    </w:p>
    <w:p w14:paraId="15028DAF" w14:textId="77777777" w:rsidR="0069729B" w:rsidRPr="00EB0F4E" w:rsidRDefault="0069729B" w:rsidP="0069729B">
      <w:pPr>
        <w:widowControl w:val="0"/>
        <w:tabs>
          <w:tab w:val="left" w:pos="567"/>
        </w:tabs>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ab/>
        <w:t xml:space="preserve">The population of our study is all Indonesian listed banks during 2014-2018 considering the issuance of sustainable finance roadmap by Indonesia Financial Service Authority in 2014. Using purposive sampling with the following criteria: (a) bank must be listed in Indonesian Stock Exchange; (b) bank must publish accessible annual report, we are able to generate total 210 observations from 43 banks in 2014-2018. Finally, the data are secondary data obtained from bank's annual and sustainability report. </w:t>
      </w:r>
    </w:p>
    <w:p w14:paraId="1E021F3C" w14:textId="77777777" w:rsidR="0069729B" w:rsidRPr="00EB0F4E" w:rsidRDefault="0069729B" w:rsidP="0069729B">
      <w:pPr>
        <w:widowControl w:val="0"/>
        <w:autoSpaceDE w:val="0"/>
        <w:autoSpaceDN w:val="0"/>
        <w:adjustRightInd w:val="0"/>
        <w:spacing w:after="0" w:line="240" w:lineRule="auto"/>
        <w:jc w:val="both"/>
        <w:rPr>
          <w:rFonts w:ascii="Calibri" w:hAnsi="Calibri" w:cs="Calibri"/>
          <w:sz w:val="24"/>
          <w:szCs w:val="24"/>
        </w:rPr>
      </w:pPr>
    </w:p>
    <w:p w14:paraId="5274FE2A" w14:textId="77777777" w:rsidR="0069729B" w:rsidRPr="00EB0F4E" w:rsidRDefault="0069729B" w:rsidP="0069729B">
      <w:pPr>
        <w:widowControl w:val="0"/>
        <w:autoSpaceDE w:val="0"/>
        <w:autoSpaceDN w:val="0"/>
        <w:adjustRightInd w:val="0"/>
        <w:spacing w:after="0" w:line="240" w:lineRule="auto"/>
        <w:jc w:val="both"/>
        <w:rPr>
          <w:rFonts w:ascii="Calibri" w:hAnsi="Calibri" w:cs="Calibri"/>
          <w:i/>
          <w:iCs/>
          <w:sz w:val="24"/>
          <w:szCs w:val="24"/>
        </w:rPr>
      </w:pPr>
      <w:r w:rsidRPr="00EB0F4E">
        <w:rPr>
          <w:rFonts w:ascii="Calibri" w:hAnsi="Calibri" w:cs="Calibri"/>
          <w:i/>
          <w:iCs/>
          <w:sz w:val="24"/>
          <w:szCs w:val="24"/>
        </w:rPr>
        <w:t>Research Variables</w:t>
      </w:r>
    </w:p>
    <w:p w14:paraId="6D476207" w14:textId="6F5CC117" w:rsidR="0069729B" w:rsidRPr="00EB0F4E" w:rsidRDefault="0069729B" w:rsidP="0069729B">
      <w:pPr>
        <w:widowControl w:val="0"/>
        <w:tabs>
          <w:tab w:val="left" w:pos="567"/>
        </w:tabs>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ab/>
        <w:t xml:space="preserve">The dependent variable of our study is sustainability reporting measured with GRI Financial Service Sector Disclosure index as our samples are commercial banks. The measurement has been widely used to measure sustainability reporting variable in previous studies in the literature (Khan et al., 2013; </w:t>
      </w:r>
      <w:proofErr w:type="spellStart"/>
      <w:r w:rsidRPr="00EB0F4E">
        <w:rPr>
          <w:rFonts w:ascii="Calibri" w:hAnsi="Calibri" w:cs="Calibri"/>
          <w:sz w:val="24"/>
          <w:szCs w:val="24"/>
        </w:rPr>
        <w:t>Sumarta</w:t>
      </w:r>
      <w:proofErr w:type="spellEnd"/>
      <w:r w:rsidRPr="00EB0F4E">
        <w:rPr>
          <w:rFonts w:ascii="Calibri" w:hAnsi="Calibri" w:cs="Calibri"/>
          <w:sz w:val="24"/>
          <w:szCs w:val="24"/>
        </w:rPr>
        <w:t xml:space="preserve"> et al., 2023; </w:t>
      </w:r>
      <w:proofErr w:type="spellStart"/>
      <w:r w:rsidRPr="00EB0F4E">
        <w:rPr>
          <w:rFonts w:ascii="Calibri" w:hAnsi="Calibri" w:cs="Calibri"/>
          <w:sz w:val="24"/>
          <w:szCs w:val="24"/>
        </w:rPr>
        <w:t>Sumarta</w:t>
      </w:r>
      <w:proofErr w:type="spellEnd"/>
      <w:r w:rsidRPr="00EB0F4E">
        <w:rPr>
          <w:rFonts w:ascii="Calibri" w:hAnsi="Calibri" w:cs="Calibri"/>
          <w:sz w:val="24"/>
          <w:szCs w:val="24"/>
        </w:rPr>
        <w:t xml:space="preserve"> et al., 2021b) The independent variables are the board diversity and bank ownership. Board diversity is represented by gender, nationality, age, and education diversity. The calculation of board diversity level in this study uses </w:t>
      </w:r>
      <w:proofErr w:type="spellStart"/>
      <w:r w:rsidRPr="00EB0F4E">
        <w:rPr>
          <w:rFonts w:ascii="Calibri" w:hAnsi="Calibri" w:cs="Calibri"/>
          <w:sz w:val="24"/>
          <w:szCs w:val="24"/>
        </w:rPr>
        <w:t>Blau</w:t>
      </w:r>
      <w:proofErr w:type="spellEnd"/>
      <w:r w:rsidRPr="00EB0F4E">
        <w:rPr>
          <w:rFonts w:ascii="Calibri" w:hAnsi="Calibri" w:cs="Calibri"/>
          <w:sz w:val="24"/>
          <w:szCs w:val="24"/>
        </w:rPr>
        <w:t xml:space="preserve"> index that has been widely used in previous studies in the literature (</w:t>
      </w:r>
      <w:proofErr w:type="spellStart"/>
      <w:r w:rsidRPr="00EB0F4E">
        <w:rPr>
          <w:rFonts w:ascii="Calibri" w:hAnsi="Calibri" w:cs="Calibri"/>
          <w:sz w:val="24"/>
          <w:szCs w:val="24"/>
        </w:rPr>
        <w:t>Darmadi</w:t>
      </w:r>
      <w:proofErr w:type="spellEnd"/>
      <w:r w:rsidRPr="00EB0F4E">
        <w:rPr>
          <w:rFonts w:ascii="Calibri" w:hAnsi="Calibri" w:cs="Calibri"/>
          <w:sz w:val="24"/>
          <w:szCs w:val="24"/>
        </w:rPr>
        <w:t>, 2011). We also control for bank ownership that consists of foreign, family, and government ownership, board size, profitability, and bank size. The summary of our variables along with the measurement is presented as follows</w:t>
      </w:r>
    </w:p>
    <w:p w14:paraId="66889F66" w14:textId="32B42EFA" w:rsidR="0069729B" w:rsidRDefault="0069729B" w:rsidP="0069729B">
      <w:pPr>
        <w:widowControl w:val="0"/>
        <w:autoSpaceDE w:val="0"/>
        <w:autoSpaceDN w:val="0"/>
        <w:adjustRightInd w:val="0"/>
        <w:spacing w:after="0" w:line="240" w:lineRule="auto"/>
        <w:jc w:val="both"/>
        <w:rPr>
          <w:rFonts w:ascii="Calibri" w:hAnsi="Calibri" w:cs="Calibri"/>
          <w:sz w:val="24"/>
          <w:szCs w:val="24"/>
        </w:rPr>
      </w:pPr>
    </w:p>
    <w:p w14:paraId="457AF08E" w14:textId="186B5938" w:rsidR="0069729B" w:rsidRDefault="0069729B" w:rsidP="0069729B">
      <w:pPr>
        <w:widowControl w:val="0"/>
        <w:autoSpaceDE w:val="0"/>
        <w:autoSpaceDN w:val="0"/>
        <w:adjustRightInd w:val="0"/>
        <w:spacing w:after="0" w:line="240" w:lineRule="auto"/>
        <w:jc w:val="both"/>
        <w:rPr>
          <w:rFonts w:ascii="Calibri" w:hAnsi="Calibri" w:cs="Calibri"/>
          <w:sz w:val="24"/>
          <w:szCs w:val="24"/>
        </w:rPr>
      </w:pPr>
    </w:p>
    <w:p w14:paraId="694A86D1" w14:textId="6B22F915" w:rsidR="0069729B" w:rsidRDefault="0069729B" w:rsidP="0069729B">
      <w:pPr>
        <w:widowControl w:val="0"/>
        <w:autoSpaceDE w:val="0"/>
        <w:autoSpaceDN w:val="0"/>
        <w:adjustRightInd w:val="0"/>
        <w:spacing w:after="0" w:line="240" w:lineRule="auto"/>
        <w:jc w:val="both"/>
        <w:rPr>
          <w:rFonts w:ascii="Calibri" w:hAnsi="Calibri" w:cs="Calibri"/>
          <w:sz w:val="24"/>
          <w:szCs w:val="24"/>
        </w:rPr>
      </w:pPr>
    </w:p>
    <w:p w14:paraId="37BA8FD1" w14:textId="0B2C2211" w:rsidR="0069729B" w:rsidRDefault="0069729B" w:rsidP="0069729B">
      <w:pPr>
        <w:widowControl w:val="0"/>
        <w:autoSpaceDE w:val="0"/>
        <w:autoSpaceDN w:val="0"/>
        <w:adjustRightInd w:val="0"/>
        <w:spacing w:after="0" w:line="240" w:lineRule="auto"/>
        <w:jc w:val="both"/>
        <w:rPr>
          <w:rFonts w:ascii="Calibri" w:hAnsi="Calibri" w:cs="Calibri"/>
          <w:sz w:val="24"/>
          <w:szCs w:val="24"/>
        </w:rPr>
      </w:pPr>
    </w:p>
    <w:p w14:paraId="3723912F" w14:textId="6A859BF4" w:rsidR="0069729B" w:rsidRDefault="0069729B" w:rsidP="0069729B">
      <w:pPr>
        <w:widowControl w:val="0"/>
        <w:autoSpaceDE w:val="0"/>
        <w:autoSpaceDN w:val="0"/>
        <w:adjustRightInd w:val="0"/>
        <w:spacing w:after="0" w:line="240" w:lineRule="auto"/>
        <w:jc w:val="both"/>
        <w:rPr>
          <w:rFonts w:ascii="Calibri" w:hAnsi="Calibri" w:cs="Calibri"/>
          <w:sz w:val="24"/>
          <w:szCs w:val="24"/>
        </w:rPr>
      </w:pPr>
    </w:p>
    <w:p w14:paraId="22BCBE5A" w14:textId="3DDF4CF3" w:rsidR="0069729B" w:rsidRDefault="0069729B" w:rsidP="0069729B">
      <w:pPr>
        <w:widowControl w:val="0"/>
        <w:autoSpaceDE w:val="0"/>
        <w:autoSpaceDN w:val="0"/>
        <w:adjustRightInd w:val="0"/>
        <w:spacing w:after="0" w:line="240" w:lineRule="auto"/>
        <w:jc w:val="both"/>
        <w:rPr>
          <w:rFonts w:ascii="Calibri" w:hAnsi="Calibri" w:cs="Calibri"/>
          <w:sz w:val="24"/>
          <w:szCs w:val="24"/>
        </w:rPr>
      </w:pPr>
    </w:p>
    <w:p w14:paraId="3A97E058" w14:textId="6F86502E" w:rsidR="0069729B" w:rsidRDefault="0069729B" w:rsidP="0069729B">
      <w:pPr>
        <w:widowControl w:val="0"/>
        <w:autoSpaceDE w:val="0"/>
        <w:autoSpaceDN w:val="0"/>
        <w:adjustRightInd w:val="0"/>
        <w:spacing w:after="0" w:line="240" w:lineRule="auto"/>
        <w:jc w:val="both"/>
        <w:rPr>
          <w:rFonts w:ascii="Calibri" w:hAnsi="Calibri" w:cs="Calibri"/>
          <w:sz w:val="24"/>
          <w:szCs w:val="24"/>
        </w:rPr>
      </w:pPr>
    </w:p>
    <w:p w14:paraId="0EBEE81B" w14:textId="4CDAFCCB" w:rsidR="0069729B" w:rsidRDefault="0069729B" w:rsidP="0069729B">
      <w:pPr>
        <w:widowControl w:val="0"/>
        <w:autoSpaceDE w:val="0"/>
        <w:autoSpaceDN w:val="0"/>
        <w:adjustRightInd w:val="0"/>
        <w:spacing w:after="0" w:line="240" w:lineRule="auto"/>
        <w:jc w:val="both"/>
        <w:rPr>
          <w:rFonts w:ascii="Calibri" w:hAnsi="Calibri" w:cs="Calibri"/>
          <w:sz w:val="24"/>
          <w:szCs w:val="24"/>
        </w:rPr>
      </w:pPr>
    </w:p>
    <w:p w14:paraId="0820DF4D" w14:textId="7023417F" w:rsidR="0069729B" w:rsidRDefault="0069729B" w:rsidP="0069729B">
      <w:pPr>
        <w:widowControl w:val="0"/>
        <w:autoSpaceDE w:val="0"/>
        <w:autoSpaceDN w:val="0"/>
        <w:adjustRightInd w:val="0"/>
        <w:spacing w:after="0" w:line="240" w:lineRule="auto"/>
        <w:jc w:val="both"/>
        <w:rPr>
          <w:rFonts w:ascii="Calibri" w:hAnsi="Calibri" w:cs="Calibri"/>
          <w:sz w:val="24"/>
          <w:szCs w:val="24"/>
        </w:rPr>
      </w:pPr>
    </w:p>
    <w:p w14:paraId="13948BA4" w14:textId="44BDD8A3" w:rsidR="0069729B" w:rsidRDefault="0069729B" w:rsidP="0069729B">
      <w:pPr>
        <w:widowControl w:val="0"/>
        <w:autoSpaceDE w:val="0"/>
        <w:autoSpaceDN w:val="0"/>
        <w:adjustRightInd w:val="0"/>
        <w:spacing w:after="0" w:line="240" w:lineRule="auto"/>
        <w:jc w:val="both"/>
        <w:rPr>
          <w:rFonts w:ascii="Calibri" w:hAnsi="Calibri" w:cs="Calibri"/>
          <w:sz w:val="24"/>
          <w:szCs w:val="24"/>
        </w:rPr>
      </w:pPr>
    </w:p>
    <w:p w14:paraId="422CB8AF" w14:textId="48B5F8C0" w:rsidR="0069729B" w:rsidRDefault="0069729B" w:rsidP="0069729B">
      <w:pPr>
        <w:widowControl w:val="0"/>
        <w:autoSpaceDE w:val="0"/>
        <w:autoSpaceDN w:val="0"/>
        <w:adjustRightInd w:val="0"/>
        <w:spacing w:after="0" w:line="240" w:lineRule="auto"/>
        <w:jc w:val="both"/>
        <w:rPr>
          <w:rFonts w:ascii="Calibri" w:hAnsi="Calibri" w:cs="Calibri"/>
          <w:sz w:val="24"/>
          <w:szCs w:val="24"/>
        </w:rPr>
      </w:pPr>
    </w:p>
    <w:p w14:paraId="0814BC2A" w14:textId="1E8345A4" w:rsidR="0069729B" w:rsidRDefault="0069729B" w:rsidP="0069729B">
      <w:pPr>
        <w:widowControl w:val="0"/>
        <w:autoSpaceDE w:val="0"/>
        <w:autoSpaceDN w:val="0"/>
        <w:adjustRightInd w:val="0"/>
        <w:spacing w:after="0" w:line="240" w:lineRule="auto"/>
        <w:jc w:val="both"/>
        <w:rPr>
          <w:rFonts w:ascii="Calibri" w:hAnsi="Calibri" w:cs="Calibri"/>
          <w:sz w:val="24"/>
          <w:szCs w:val="24"/>
        </w:rPr>
      </w:pPr>
    </w:p>
    <w:p w14:paraId="09CF437D" w14:textId="77777777" w:rsidR="0069729B" w:rsidRPr="00EB0F4E" w:rsidRDefault="0069729B" w:rsidP="0069729B">
      <w:pPr>
        <w:widowControl w:val="0"/>
        <w:autoSpaceDE w:val="0"/>
        <w:autoSpaceDN w:val="0"/>
        <w:adjustRightInd w:val="0"/>
        <w:spacing w:after="0" w:line="240" w:lineRule="auto"/>
        <w:jc w:val="both"/>
        <w:rPr>
          <w:rFonts w:ascii="Calibri" w:hAnsi="Calibri" w:cs="Calibri"/>
          <w:sz w:val="24"/>
          <w:szCs w:val="24"/>
        </w:rPr>
      </w:pPr>
    </w:p>
    <w:p w14:paraId="655639A0" w14:textId="77777777" w:rsidR="0069729B" w:rsidRPr="0069729B" w:rsidRDefault="0069729B" w:rsidP="0069729B">
      <w:pPr>
        <w:spacing w:after="0" w:line="240" w:lineRule="auto"/>
        <w:jc w:val="both"/>
        <w:rPr>
          <w:rFonts w:ascii="Calibri" w:eastAsia="Times New Roman" w:hAnsi="Calibri" w:cs="Calibri"/>
          <w:sz w:val="24"/>
          <w:szCs w:val="24"/>
        </w:rPr>
      </w:pPr>
      <w:r w:rsidRPr="0069729B">
        <w:rPr>
          <w:rFonts w:ascii="Calibri" w:eastAsia="Times New Roman" w:hAnsi="Calibri" w:cs="Calibri"/>
          <w:sz w:val="24"/>
          <w:szCs w:val="24"/>
        </w:rPr>
        <w:lastRenderedPageBreak/>
        <w:t>Table 1</w:t>
      </w:r>
    </w:p>
    <w:p w14:paraId="22580BCF" w14:textId="37EDA3DD" w:rsidR="0069729B" w:rsidRPr="0069729B" w:rsidRDefault="0069729B" w:rsidP="0069729B">
      <w:pPr>
        <w:spacing w:after="0" w:line="240" w:lineRule="auto"/>
        <w:jc w:val="both"/>
        <w:rPr>
          <w:rFonts w:ascii="Calibri" w:eastAsia="Times New Roman" w:hAnsi="Calibri" w:cs="Calibri"/>
          <w:i/>
          <w:iCs/>
          <w:sz w:val="24"/>
          <w:szCs w:val="24"/>
        </w:rPr>
      </w:pPr>
      <w:r w:rsidRPr="0069729B">
        <w:rPr>
          <w:rFonts w:ascii="Calibri" w:eastAsia="Times New Roman" w:hAnsi="Calibri" w:cs="Calibri"/>
          <w:i/>
          <w:iCs/>
          <w:sz w:val="24"/>
          <w:szCs w:val="24"/>
        </w:rPr>
        <w:t>Operational Definition of Variables</w:t>
      </w:r>
    </w:p>
    <w:tbl>
      <w:tblPr>
        <w:tblStyle w:val="TableGrid"/>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1679"/>
        <w:gridCol w:w="5186"/>
      </w:tblGrid>
      <w:tr w:rsidR="0069729B" w:rsidRPr="00EB0F4E" w14:paraId="489FD25E" w14:textId="77777777" w:rsidTr="00F0140C">
        <w:trPr>
          <w:tblHeader/>
        </w:trPr>
        <w:tc>
          <w:tcPr>
            <w:tcW w:w="2410" w:type="dxa"/>
            <w:tcBorders>
              <w:top w:val="single" w:sz="4" w:space="0" w:color="auto"/>
              <w:bottom w:val="single" w:sz="4" w:space="0" w:color="auto"/>
            </w:tcBorders>
            <w:shd w:val="clear" w:color="auto" w:fill="E7E6E6" w:themeFill="background2"/>
          </w:tcPr>
          <w:p w14:paraId="26C9D26D" w14:textId="77777777" w:rsidR="0069729B" w:rsidRPr="00EB0F4E" w:rsidRDefault="0069729B" w:rsidP="00F0140C">
            <w:pPr>
              <w:jc w:val="both"/>
              <w:rPr>
                <w:rFonts w:ascii="Calibri" w:eastAsia="Times New Roman" w:hAnsi="Calibri" w:cs="Calibri"/>
                <w:b/>
                <w:bCs/>
                <w:sz w:val="24"/>
                <w:szCs w:val="24"/>
              </w:rPr>
            </w:pPr>
            <w:r w:rsidRPr="00EB0F4E">
              <w:rPr>
                <w:rFonts w:ascii="Calibri" w:eastAsia="Times New Roman" w:hAnsi="Calibri" w:cs="Calibri"/>
                <w:b/>
                <w:bCs/>
                <w:sz w:val="24"/>
                <w:szCs w:val="24"/>
              </w:rPr>
              <w:t>Variable</w:t>
            </w:r>
          </w:p>
        </w:tc>
        <w:tc>
          <w:tcPr>
            <w:tcW w:w="1418" w:type="dxa"/>
            <w:tcBorders>
              <w:top w:val="single" w:sz="4" w:space="0" w:color="auto"/>
              <w:bottom w:val="single" w:sz="4" w:space="0" w:color="auto"/>
            </w:tcBorders>
            <w:shd w:val="clear" w:color="auto" w:fill="E7E6E6" w:themeFill="background2"/>
          </w:tcPr>
          <w:p w14:paraId="279A6B5A" w14:textId="77777777" w:rsidR="0069729B" w:rsidRPr="00EB0F4E" w:rsidRDefault="0069729B" w:rsidP="00F0140C">
            <w:pPr>
              <w:jc w:val="both"/>
              <w:rPr>
                <w:rFonts w:ascii="Calibri" w:eastAsia="Times New Roman" w:hAnsi="Calibri" w:cs="Calibri"/>
                <w:b/>
                <w:bCs/>
                <w:sz w:val="24"/>
                <w:szCs w:val="24"/>
              </w:rPr>
            </w:pPr>
            <w:r w:rsidRPr="00EB0F4E">
              <w:rPr>
                <w:rFonts w:ascii="Calibri" w:eastAsia="Times New Roman" w:hAnsi="Calibri" w:cs="Calibri"/>
                <w:b/>
                <w:bCs/>
                <w:sz w:val="24"/>
                <w:szCs w:val="24"/>
              </w:rPr>
              <w:t>Notation</w:t>
            </w:r>
          </w:p>
        </w:tc>
        <w:tc>
          <w:tcPr>
            <w:tcW w:w="5386" w:type="dxa"/>
            <w:tcBorders>
              <w:top w:val="single" w:sz="4" w:space="0" w:color="auto"/>
              <w:bottom w:val="single" w:sz="4" w:space="0" w:color="auto"/>
            </w:tcBorders>
            <w:shd w:val="clear" w:color="auto" w:fill="E7E6E6" w:themeFill="background2"/>
          </w:tcPr>
          <w:p w14:paraId="6A1527AC" w14:textId="77777777" w:rsidR="0069729B" w:rsidRPr="00EB0F4E" w:rsidRDefault="0069729B" w:rsidP="00F0140C">
            <w:pPr>
              <w:jc w:val="both"/>
              <w:rPr>
                <w:rFonts w:ascii="Calibri" w:eastAsia="Times New Roman" w:hAnsi="Calibri" w:cs="Calibri"/>
                <w:b/>
                <w:bCs/>
                <w:sz w:val="24"/>
                <w:szCs w:val="24"/>
              </w:rPr>
            </w:pPr>
            <w:r w:rsidRPr="00EB0F4E">
              <w:rPr>
                <w:rFonts w:ascii="Calibri" w:eastAsia="Times New Roman" w:hAnsi="Calibri" w:cs="Calibri"/>
                <w:b/>
                <w:bCs/>
                <w:sz w:val="24"/>
                <w:szCs w:val="24"/>
              </w:rPr>
              <w:t>Measurement</w:t>
            </w:r>
          </w:p>
        </w:tc>
      </w:tr>
      <w:tr w:rsidR="0069729B" w:rsidRPr="00EB0F4E" w14:paraId="0086C726" w14:textId="77777777" w:rsidTr="00F0140C">
        <w:tc>
          <w:tcPr>
            <w:tcW w:w="2410" w:type="dxa"/>
            <w:tcBorders>
              <w:top w:val="single" w:sz="4" w:space="0" w:color="auto"/>
            </w:tcBorders>
          </w:tcPr>
          <w:p w14:paraId="365634AB" w14:textId="77777777" w:rsidR="0069729B" w:rsidRPr="00EB0F4E" w:rsidRDefault="0069729B" w:rsidP="00F0140C">
            <w:pPr>
              <w:jc w:val="both"/>
              <w:rPr>
                <w:rFonts w:ascii="Calibri" w:eastAsia="Times New Roman" w:hAnsi="Calibri" w:cs="Calibri"/>
                <w:b/>
                <w:bCs/>
                <w:i/>
                <w:iCs/>
                <w:sz w:val="24"/>
                <w:szCs w:val="24"/>
              </w:rPr>
            </w:pPr>
            <w:r w:rsidRPr="00EB0F4E">
              <w:rPr>
                <w:rFonts w:ascii="Calibri" w:eastAsia="Times New Roman" w:hAnsi="Calibri" w:cs="Calibri"/>
                <w:b/>
                <w:bCs/>
                <w:i/>
                <w:iCs/>
                <w:sz w:val="24"/>
                <w:szCs w:val="24"/>
              </w:rPr>
              <w:t>Dependent</w:t>
            </w:r>
          </w:p>
        </w:tc>
        <w:tc>
          <w:tcPr>
            <w:tcW w:w="1418" w:type="dxa"/>
            <w:tcBorders>
              <w:top w:val="single" w:sz="4" w:space="0" w:color="auto"/>
            </w:tcBorders>
          </w:tcPr>
          <w:p w14:paraId="242F59C4" w14:textId="77777777" w:rsidR="0069729B" w:rsidRPr="00EB0F4E" w:rsidRDefault="0069729B" w:rsidP="00F0140C">
            <w:pPr>
              <w:jc w:val="both"/>
              <w:rPr>
                <w:rFonts w:ascii="Calibri" w:eastAsia="Times New Roman" w:hAnsi="Calibri" w:cs="Calibri"/>
                <w:sz w:val="24"/>
                <w:szCs w:val="24"/>
              </w:rPr>
            </w:pPr>
          </w:p>
        </w:tc>
        <w:tc>
          <w:tcPr>
            <w:tcW w:w="5386" w:type="dxa"/>
            <w:tcBorders>
              <w:top w:val="single" w:sz="4" w:space="0" w:color="auto"/>
            </w:tcBorders>
          </w:tcPr>
          <w:p w14:paraId="47937F48" w14:textId="77777777" w:rsidR="0069729B" w:rsidRPr="00EB0F4E" w:rsidRDefault="0069729B" w:rsidP="00F0140C">
            <w:pPr>
              <w:jc w:val="both"/>
              <w:rPr>
                <w:rFonts w:ascii="Calibri" w:eastAsia="Times New Roman" w:hAnsi="Calibri" w:cs="Calibri"/>
                <w:sz w:val="24"/>
                <w:szCs w:val="24"/>
              </w:rPr>
            </w:pPr>
          </w:p>
        </w:tc>
      </w:tr>
      <w:tr w:rsidR="0069729B" w:rsidRPr="00EB0F4E" w14:paraId="5F2742A0" w14:textId="77777777" w:rsidTr="00F0140C">
        <w:tc>
          <w:tcPr>
            <w:tcW w:w="2410" w:type="dxa"/>
          </w:tcPr>
          <w:p w14:paraId="4D92B60D" w14:textId="77777777" w:rsidR="0069729B" w:rsidRPr="00EB0F4E" w:rsidRDefault="0069729B" w:rsidP="00F0140C">
            <w:pPr>
              <w:jc w:val="both"/>
              <w:rPr>
                <w:rFonts w:ascii="Calibri" w:eastAsia="Times New Roman" w:hAnsi="Calibri" w:cs="Calibri"/>
                <w:i/>
                <w:iCs/>
                <w:sz w:val="24"/>
                <w:szCs w:val="24"/>
              </w:rPr>
            </w:pPr>
            <w:r w:rsidRPr="00EB0F4E">
              <w:rPr>
                <w:rFonts w:ascii="Calibri" w:eastAsia="Times New Roman" w:hAnsi="Calibri" w:cs="Calibri"/>
                <w:i/>
                <w:iCs/>
                <w:sz w:val="24"/>
                <w:szCs w:val="24"/>
              </w:rPr>
              <w:t>Overall disclosure</w:t>
            </w:r>
          </w:p>
          <w:p w14:paraId="105EE1E0"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 xml:space="preserve">Sustainability reporting </w:t>
            </w:r>
          </w:p>
        </w:tc>
        <w:tc>
          <w:tcPr>
            <w:tcW w:w="1418" w:type="dxa"/>
          </w:tcPr>
          <w:p w14:paraId="230C0274" w14:textId="77777777" w:rsidR="0069729B" w:rsidRPr="00EB0F4E" w:rsidRDefault="0069729B" w:rsidP="00F0140C">
            <w:pPr>
              <w:jc w:val="both"/>
              <w:rPr>
                <w:rFonts w:ascii="Calibri" w:eastAsia="Times New Roman" w:hAnsi="Calibri" w:cs="Calibri"/>
                <w:sz w:val="24"/>
                <w:szCs w:val="24"/>
              </w:rPr>
            </w:pPr>
          </w:p>
          <w:p w14:paraId="1EC6D8D6"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GRI</w:t>
            </w:r>
          </w:p>
        </w:tc>
        <w:tc>
          <w:tcPr>
            <w:tcW w:w="5386" w:type="dxa"/>
          </w:tcPr>
          <w:p w14:paraId="4D79422A" w14:textId="77777777" w:rsidR="0069729B" w:rsidRPr="00EB0F4E" w:rsidRDefault="0069729B" w:rsidP="00F0140C">
            <w:pPr>
              <w:jc w:val="both"/>
              <w:rPr>
                <w:rFonts w:ascii="Calibri" w:eastAsia="Times New Roman" w:hAnsi="Calibri" w:cs="Calibri"/>
                <w:sz w:val="24"/>
                <w:szCs w:val="24"/>
              </w:rPr>
            </w:pPr>
          </w:p>
          <w:p w14:paraId="3FEC167B"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Percentage of sustainability information disclosed based on GRI Financial Service Disclosure Guidelines (Content Analysis)</w:t>
            </w:r>
          </w:p>
        </w:tc>
      </w:tr>
      <w:tr w:rsidR="0069729B" w:rsidRPr="00EB0F4E" w14:paraId="39F95754" w14:textId="77777777" w:rsidTr="00F0140C">
        <w:tc>
          <w:tcPr>
            <w:tcW w:w="2410" w:type="dxa"/>
          </w:tcPr>
          <w:p w14:paraId="0033DB15" w14:textId="77777777" w:rsidR="0069729B" w:rsidRPr="00EB0F4E" w:rsidRDefault="0069729B" w:rsidP="00F0140C">
            <w:pPr>
              <w:ind w:right="-255"/>
              <w:jc w:val="both"/>
              <w:rPr>
                <w:rFonts w:ascii="Calibri" w:eastAsia="Times New Roman" w:hAnsi="Calibri" w:cs="Calibri"/>
                <w:i/>
                <w:iCs/>
                <w:sz w:val="24"/>
                <w:szCs w:val="24"/>
              </w:rPr>
            </w:pPr>
            <w:r w:rsidRPr="00EB0F4E">
              <w:rPr>
                <w:rFonts w:ascii="Calibri" w:eastAsia="Times New Roman" w:hAnsi="Calibri" w:cs="Calibri"/>
                <w:i/>
                <w:iCs/>
                <w:sz w:val="24"/>
                <w:szCs w:val="24"/>
              </w:rPr>
              <w:t>Sub-information disclosure</w:t>
            </w:r>
          </w:p>
          <w:p w14:paraId="606857C5"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 xml:space="preserve">Economic information reporting </w:t>
            </w:r>
          </w:p>
        </w:tc>
        <w:tc>
          <w:tcPr>
            <w:tcW w:w="1418" w:type="dxa"/>
          </w:tcPr>
          <w:p w14:paraId="1DFC01AD" w14:textId="77777777" w:rsidR="0069729B" w:rsidRPr="00EB0F4E" w:rsidRDefault="0069729B" w:rsidP="00F0140C">
            <w:pPr>
              <w:jc w:val="both"/>
              <w:rPr>
                <w:rFonts w:ascii="Calibri" w:eastAsia="Times New Roman" w:hAnsi="Calibri" w:cs="Calibri"/>
                <w:sz w:val="24"/>
                <w:szCs w:val="24"/>
              </w:rPr>
            </w:pPr>
          </w:p>
          <w:p w14:paraId="67D91B4B"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GRI_ECO</w:t>
            </w:r>
          </w:p>
        </w:tc>
        <w:tc>
          <w:tcPr>
            <w:tcW w:w="5386" w:type="dxa"/>
          </w:tcPr>
          <w:p w14:paraId="0EF8F719" w14:textId="77777777" w:rsidR="0069729B" w:rsidRPr="00EB0F4E" w:rsidRDefault="0069729B" w:rsidP="00F0140C">
            <w:pPr>
              <w:jc w:val="both"/>
              <w:rPr>
                <w:rFonts w:ascii="Calibri" w:eastAsia="Times New Roman" w:hAnsi="Calibri" w:cs="Calibri"/>
                <w:sz w:val="24"/>
                <w:szCs w:val="24"/>
              </w:rPr>
            </w:pPr>
          </w:p>
          <w:p w14:paraId="002C2E50"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Percentage of economic information disclosed based on GRI Financial Service Disclosure Guidelines (Content Analysis)</w:t>
            </w:r>
          </w:p>
        </w:tc>
      </w:tr>
      <w:tr w:rsidR="0069729B" w:rsidRPr="00EB0F4E" w14:paraId="46B72E77" w14:textId="77777777" w:rsidTr="00F0140C">
        <w:tc>
          <w:tcPr>
            <w:tcW w:w="2410" w:type="dxa"/>
          </w:tcPr>
          <w:p w14:paraId="2D980810"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 xml:space="preserve">Sustainability reporting </w:t>
            </w:r>
          </w:p>
        </w:tc>
        <w:tc>
          <w:tcPr>
            <w:tcW w:w="1418" w:type="dxa"/>
          </w:tcPr>
          <w:p w14:paraId="3C7A07CF"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GRI_ENV</w:t>
            </w:r>
          </w:p>
        </w:tc>
        <w:tc>
          <w:tcPr>
            <w:tcW w:w="5386" w:type="dxa"/>
          </w:tcPr>
          <w:p w14:paraId="308A5A4E"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Percentage of environmental information disclosed based on GRI Financial Service Disclosure Guidelines (Content Analysis)</w:t>
            </w:r>
          </w:p>
        </w:tc>
      </w:tr>
      <w:tr w:rsidR="0069729B" w:rsidRPr="00EB0F4E" w14:paraId="2C4E55A7" w14:textId="77777777" w:rsidTr="00F0140C">
        <w:tc>
          <w:tcPr>
            <w:tcW w:w="2410" w:type="dxa"/>
          </w:tcPr>
          <w:p w14:paraId="7C7E53AF"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 xml:space="preserve">Sustainability reporting </w:t>
            </w:r>
          </w:p>
        </w:tc>
        <w:tc>
          <w:tcPr>
            <w:tcW w:w="1418" w:type="dxa"/>
          </w:tcPr>
          <w:p w14:paraId="155D5338"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GRI_SOC</w:t>
            </w:r>
          </w:p>
        </w:tc>
        <w:tc>
          <w:tcPr>
            <w:tcW w:w="5386" w:type="dxa"/>
          </w:tcPr>
          <w:p w14:paraId="384E3B86"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Percentage of social information disclosed based on GRI Financial Service Disclosure Guidelines (Content Analysis)</w:t>
            </w:r>
          </w:p>
        </w:tc>
      </w:tr>
      <w:tr w:rsidR="0069729B" w:rsidRPr="00EB0F4E" w14:paraId="0716D58A" w14:textId="77777777" w:rsidTr="00F0140C">
        <w:tc>
          <w:tcPr>
            <w:tcW w:w="2410" w:type="dxa"/>
            <w:tcBorders>
              <w:top w:val="single" w:sz="4" w:space="0" w:color="auto"/>
            </w:tcBorders>
          </w:tcPr>
          <w:p w14:paraId="5438B691" w14:textId="77777777" w:rsidR="0069729B" w:rsidRPr="00EB0F4E" w:rsidRDefault="0069729B" w:rsidP="00F0140C">
            <w:pPr>
              <w:jc w:val="both"/>
              <w:rPr>
                <w:rFonts w:ascii="Calibri" w:eastAsia="Times New Roman" w:hAnsi="Calibri" w:cs="Calibri"/>
                <w:b/>
                <w:bCs/>
                <w:i/>
                <w:iCs/>
                <w:sz w:val="24"/>
                <w:szCs w:val="24"/>
              </w:rPr>
            </w:pPr>
            <w:r w:rsidRPr="00EB0F4E">
              <w:rPr>
                <w:rFonts w:ascii="Calibri" w:eastAsia="Times New Roman" w:hAnsi="Calibri" w:cs="Calibri"/>
                <w:b/>
                <w:bCs/>
                <w:i/>
                <w:iCs/>
                <w:sz w:val="24"/>
                <w:szCs w:val="24"/>
              </w:rPr>
              <w:t>Independent</w:t>
            </w:r>
          </w:p>
        </w:tc>
        <w:tc>
          <w:tcPr>
            <w:tcW w:w="1418" w:type="dxa"/>
            <w:tcBorders>
              <w:top w:val="single" w:sz="4" w:space="0" w:color="auto"/>
            </w:tcBorders>
          </w:tcPr>
          <w:p w14:paraId="1EC0BCC8" w14:textId="77777777" w:rsidR="0069729B" w:rsidRPr="00EB0F4E" w:rsidRDefault="0069729B" w:rsidP="00F0140C">
            <w:pPr>
              <w:jc w:val="both"/>
              <w:rPr>
                <w:rFonts w:ascii="Calibri" w:eastAsia="Times New Roman" w:hAnsi="Calibri" w:cs="Calibri"/>
                <w:sz w:val="24"/>
                <w:szCs w:val="24"/>
              </w:rPr>
            </w:pPr>
          </w:p>
        </w:tc>
        <w:tc>
          <w:tcPr>
            <w:tcW w:w="5386" w:type="dxa"/>
            <w:tcBorders>
              <w:top w:val="single" w:sz="4" w:space="0" w:color="auto"/>
            </w:tcBorders>
          </w:tcPr>
          <w:p w14:paraId="631711E8" w14:textId="77777777" w:rsidR="0069729B" w:rsidRPr="00EB0F4E" w:rsidRDefault="0069729B" w:rsidP="00F0140C">
            <w:pPr>
              <w:jc w:val="both"/>
              <w:rPr>
                <w:rFonts w:ascii="Calibri" w:eastAsia="Times New Roman" w:hAnsi="Calibri" w:cs="Calibri"/>
                <w:sz w:val="24"/>
                <w:szCs w:val="24"/>
              </w:rPr>
            </w:pPr>
          </w:p>
        </w:tc>
      </w:tr>
      <w:tr w:rsidR="0069729B" w:rsidRPr="00EB0F4E" w14:paraId="0A5E8C4D" w14:textId="77777777" w:rsidTr="00F0140C">
        <w:tc>
          <w:tcPr>
            <w:tcW w:w="2410" w:type="dxa"/>
          </w:tcPr>
          <w:p w14:paraId="120AC3F6"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Board's gender diversity</w:t>
            </w:r>
          </w:p>
        </w:tc>
        <w:tc>
          <w:tcPr>
            <w:tcW w:w="1418" w:type="dxa"/>
          </w:tcPr>
          <w:p w14:paraId="420C6A04"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BLAU_GENDER</w:t>
            </w:r>
          </w:p>
        </w:tc>
        <w:tc>
          <w:tcPr>
            <w:tcW w:w="5386" w:type="dxa"/>
          </w:tcPr>
          <w:p w14:paraId="714BF763" w14:textId="77777777" w:rsidR="0069729B" w:rsidRPr="00EB0F4E" w:rsidRDefault="0069729B" w:rsidP="00F0140C">
            <w:pPr>
              <w:jc w:val="both"/>
              <w:rPr>
                <w:rFonts w:ascii="Calibri" w:eastAsia="Times New Roman" w:hAnsi="Calibri" w:cs="Calibri"/>
                <w:sz w:val="24"/>
                <w:szCs w:val="24"/>
              </w:rPr>
            </w:pPr>
            <w:proofErr w:type="spellStart"/>
            <w:r w:rsidRPr="00EB0F4E">
              <w:rPr>
                <w:rFonts w:ascii="Calibri" w:eastAsia="Times New Roman" w:hAnsi="Calibri" w:cs="Calibri"/>
                <w:sz w:val="24"/>
                <w:szCs w:val="24"/>
              </w:rPr>
              <w:t>Blau</w:t>
            </w:r>
            <w:proofErr w:type="spellEnd"/>
            <w:r w:rsidRPr="00EB0F4E">
              <w:rPr>
                <w:rFonts w:ascii="Calibri" w:eastAsia="Times New Roman" w:hAnsi="Calibri" w:cs="Calibri"/>
                <w:sz w:val="24"/>
                <w:szCs w:val="24"/>
              </w:rPr>
              <w:t xml:space="preserve"> index of gender diversity (male and female)</w:t>
            </w:r>
          </w:p>
        </w:tc>
      </w:tr>
      <w:tr w:rsidR="0069729B" w:rsidRPr="00EB0F4E" w14:paraId="3E93114D" w14:textId="77777777" w:rsidTr="00F0140C">
        <w:tc>
          <w:tcPr>
            <w:tcW w:w="2410" w:type="dxa"/>
          </w:tcPr>
          <w:p w14:paraId="683918D9"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Board's national diversity</w:t>
            </w:r>
          </w:p>
        </w:tc>
        <w:tc>
          <w:tcPr>
            <w:tcW w:w="1418" w:type="dxa"/>
          </w:tcPr>
          <w:p w14:paraId="717B237B"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BLAU_NAT</w:t>
            </w:r>
          </w:p>
        </w:tc>
        <w:tc>
          <w:tcPr>
            <w:tcW w:w="5386" w:type="dxa"/>
          </w:tcPr>
          <w:p w14:paraId="1C0D200B" w14:textId="77777777" w:rsidR="0069729B" w:rsidRPr="00EB0F4E" w:rsidRDefault="0069729B" w:rsidP="00F0140C">
            <w:pPr>
              <w:jc w:val="both"/>
              <w:rPr>
                <w:rFonts w:ascii="Calibri" w:eastAsia="Times New Roman" w:hAnsi="Calibri" w:cs="Calibri"/>
                <w:sz w:val="24"/>
                <w:szCs w:val="24"/>
              </w:rPr>
            </w:pPr>
            <w:proofErr w:type="spellStart"/>
            <w:r w:rsidRPr="00EB0F4E">
              <w:rPr>
                <w:rFonts w:ascii="Calibri" w:eastAsia="Times New Roman" w:hAnsi="Calibri" w:cs="Calibri"/>
                <w:sz w:val="24"/>
                <w:szCs w:val="24"/>
              </w:rPr>
              <w:t>Blau</w:t>
            </w:r>
            <w:proofErr w:type="spellEnd"/>
            <w:r w:rsidRPr="00EB0F4E">
              <w:rPr>
                <w:rFonts w:ascii="Calibri" w:eastAsia="Times New Roman" w:hAnsi="Calibri" w:cs="Calibri"/>
                <w:sz w:val="24"/>
                <w:szCs w:val="24"/>
              </w:rPr>
              <w:t xml:space="preserve"> index of nationality diversity (local and foreign)</w:t>
            </w:r>
          </w:p>
        </w:tc>
      </w:tr>
      <w:tr w:rsidR="0069729B" w:rsidRPr="00EB0F4E" w14:paraId="581D30F9" w14:textId="77777777" w:rsidTr="00F0140C">
        <w:tc>
          <w:tcPr>
            <w:tcW w:w="2410" w:type="dxa"/>
          </w:tcPr>
          <w:p w14:paraId="2B0B7F81"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 xml:space="preserve">Board's age diversity </w:t>
            </w:r>
          </w:p>
        </w:tc>
        <w:tc>
          <w:tcPr>
            <w:tcW w:w="1418" w:type="dxa"/>
          </w:tcPr>
          <w:p w14:paraId="73274B1B"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BLAU_AGE</w:t>
            </w:r>
          </w:p>
        </w:tc>
        <w:tc>
          <w:tcPr>
            <w:tcW w:w="5386" w:type="dxa"/>
          </w:tcPr>
          <w:p w14:paraId="45794371" w14:textId="77777777" w:rsidR="0069729B" w:rsidRPr="00EB0F4E" w:rsidRDefault="0069729B" w:rsidP="00F0140C">
            <w:pPr>
              <w:jc w:val="both"/>
              <w:rPr>
                <w:rFonts w:ascii="Calibri" w:eastAsia="Times New Roman" w:hAnsi="Calibri" w:cs="Calibri"/>
                <w:sz w:val="24"/>
                <w:szCs w:val="24"/>
              </w:rPr>
            </w:pPr>
            <w:proofErr w:type="spellStart"/>
            <w:r w:rsidRPr="00EB0F4E">
              <w:rPr>
                <w:rFonts w:ascii="Calibri" w:eastAsia="Times New Roman" w:hAnsi="Calibri" w:cs="Calibri"/>
                <w:sz w:val="24"/>
                <w:szCs w:val="24"/>
              </w:rPr>
              <w:t>Blau</w:t>
            </w:r>
            <w:proofErr w:type="spellEnd"/>
            <w:r w:rsidRPr="00EB0F4E">
              <w:rPr>
                <w:rFonts w:ascii="Calibri" w:eastAsia="Times New Roman" w:hAnsi="Calibri" w:cs="Calibri"/>
                <w:sz w:val="24"/>
                <w:szCs w:val="24"/>
              </w:rPr>
              <w:t xml:space="preserve"> index of age diversity (young adulthood (below 40 years old), middle adulthood (40-65 years old), and late adulthood (above 65 years old))</w:t>
            </w:r>
          </w:p>
        </w:tc>
      </w:tr>
      <w:tr w:rsidR="0069729B" w:rsidRPr="00EB0F4E" w14:paraId="7DB2C3E9" w14:textId="77777777" w:rsidTr="00F0140C">
        <w:tc>
          <w:tcPr>
            <w:tcW w:w="2410" w:type="dxa"/>
          </w:tcPr>
          <w:p w14:paraId="72ECA203"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 xml:space="preserve">Board's education diversity </w:t>
            </w:r>
          </w:p>
        </w:tc>
        <w:tc>
          <w:tcPr>
            <w:tcW w:w="1418" w:type="dxa"/>
          </w:tcPr>
          <w:p w14:paraId="7B1039F5"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BLAU_EDU</w:t>
            </w:r>
          </w:p>
        </w:tc>
        <w:tc>
          <w:tcPr>
            <w:tcW w:w="5386" w:type="dxa"/>
          </w:tcPr>
          <w:p w14:paraId="388C695C" w14:textId="77777777" w:rsidR="0069729B" w:rsidRPr="00EB0F4E" w:rsidRDefault="0069729B" w:rsidP="00F0140C">
            <w:pPr>
              <w:jc w:val="both"/>
              <w:rPr>
                <w:rFonts w:ascii="Calibri" w:eastAsia="Times New Roman" w:hAnsi="Calibri" w:cs="Calibri"/>
                <w:sz w:val="24"/>
                <w:szCs w:val="24"/>
              </w:rPr>
            </w:pPr>
            <w:proofErr w:type="spellStart"/>
            <w:r w:rsidRPr="00EB0F4E">
              <w:rPr>
                <w:rFonts w:ascii="Calibri" w:eastAsia="Times New Roman" w:hAnsi="Calibri" w:cs="Calibri"/>
                <w:sz w:val="24"/>
                <w:szCs w:val="24"/>
              </w:rPr>
              <w:t>Blau</w:t>
            </w:r>
            <w:proofErr w:type="spellEnd"/>
            <w:r w:rsidRPr="00EB0F4E">
              <w:rPr>
                <w:rFonts w:ascii="Calibri" w:eastAsia="Times New Roman" w:hAnsi="Calibri" w:cs="Calibri"/>
                <w:sz w:val="24"/>
                <w:szCs w:val="24"/>
              </w:rPr>
              <w:t xml:space="preserve"> index of education diversity (natural science, social science, and humanities)</w:t>
            </w:r>
          </w:p>
        </w:tc>
      </w:tr>
      <w:tr w:rsidR="0069729B" w:rsidRPr="00EB0F4E" w14:paraId="1F4BF6FF" w14:textId="77777777" w:rsidTr="00F0140C">
        <w:tc>
          <w:tcPr>
            <w:tcW w:w="2410" w:type="dxa"/>
            <w:tcBorders>
              <w:top w:val="single" w:sz="4" w:space="0" w:color="auto"/>
            </w:tcBorders>
          </w:tcPr>
          <w:p w14:paraId="4E12CB83" w14:textId="77777777" w:rsidR="0069729B" w:rsidRPr="00EB0F4E" w:rsidRDefault="0069729B" w:rsidP="00F0140C">
            <w:pPr>
              <w:jc w:val="both"/>
              <w:rPr>
                <w:rFonts w:ascii="Calibri" w:eastAsia="Times New Roman" w:hAnsi="Calibri" w:cs="Calibri"/>
                <w:b/>
                <w:bCs/>
                <w:i/>
                <w:iCs/>
                <w:sz w:val="24"/>
                <w:szCs w:val="24"/>
              </w:rPr>
            </w:pPr>
            <w:r w:rsidRPr="00EB0F4E">
              <w:rPr>
                <w:rFonts w:ascii="Calibri" w:eastAsia="Times New Roman" w:hAnsi="Calibri" w:cs="Calibri"/>
                <w:b/>
                <w:bCs/>
                <w:i/>
                <w:iCs/>
                <w:sz w:val="24"/>
                <w:szCs w:val="24"/>
              </w:rPr>
              <w:t>Control</w:t>
            </w:r>
          </w:p>
        </w:tc>
        <w:tc>
          <w:tcPr>
            <w:tcW w:w="1418" w:type="dxa"/>
            <w:tcBorders>
              <w:top w:val="single" w:sz="4" w:space="0" w:color="auto"/>
            </w:tcBorders>
          </w:tcPr>
          <w:p w14:paraId="421642D2" w14:textId="77777777" w:rsidR="0069729B" w:rsidRPr="00EB0F4E" w:rsidRDefault="0069729B" w:rsidP="00F0140C">
            <w:pPr>
              <w:jc w:val="both"/>
              <w:rPr>
                <w:rFonts w:ascii="Calibri" w:eastAsia="Times New Roman" w:hAnsi="Calibri" w:cs="Calibri"/>
                <w:sz w:val="24"/>
                <w:szCs w:val="24"/>
              </w:rPr>
            </w:pPr>
          </w:p>
        </w:tc>
        <w:tc>
          <w:tcPr>
            <w:tcW w:w="5386" w:type="dxa"/>
            <w:tcBorders>
              <w:top w:val="single" w:sz="4" w:space="0" w:color="auto"/>
            </w:tcBorders>
          </w:tcPr>
          <w:p w14:paraId="6B0E5125" w14:textId="77777777" w:rsidR="0069729B" w:rsidRPr="00EB0F4E" w:rsidRDefault="0069729B" w:rsidP="00F0140C">
            <w:pPr>
              <w:jc w:val="both"/>
              <w:rPr>
                <w:rFonts w:ascii="Calibri" w:eastAsia="Times New Roman" w:hAnsi="Calibri" w:cs="Calibri"/>
                <w:sz w:val="24"/>
                <w:szCs w:val="24"/>
              </w:rPr>
            </w:pPr>
          </w:p>
        </w:tc>
      </w:tr>
      <w:tr w:rsidR="0069729B" w:rsidRPr="00EB0F4E" w14:paraId="0EFE7E7E" w14:textId="77777777" w:rsidTr="00F0140C">
        <w:tc>
          <w:tcPr>
            <w:tcW w:w="2410" w:type="dxa"/>
          </w:tcPr>
          <w:p w14:paraId="404F6689"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Foreign Ownership</w:t>
            </w:r>
          </w:p>
        </w:tc>
        <w:tc>
          <w:tcPr>
            <w:tcW w:w="1418" w:type="dxa"/>
          </w:tcPr>
          <w:p w14:paraId="411D5DB3"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FOR</w:t>
            </w:r>
          </w:p>
        </w:tc>
        <w:tc>
          <w:tcPr>
            <w:tcW w:w="5386" w:type="dxa"/>
          </w:tcPr>
          <w:p w14:paraId="1EA08441"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Percentage of shares owned by foreign institutions/individuals</w:t>
            </w:r>
          </w:p>
        </w:tc>
      </w:tr>
      <w:tr w:rsidR="0069729B" w:rsidRPr="00EB0F4E" w14:paraId="560E4990" w14:textId="77777777" w:rsidTr="00F0140C">
        <w:tc>
          <w:tcPr>
            <w:tcW w:w="2410" w:type="dxa"/>
          </w:tcPr>
          <w:p w14:paraId="5447692F"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Family Ownership</w:t>
            </w:r>
          </w:p>
        </w:tc>
        <w:tc>
          <w:tcPr>
            <w:tcW w:w="1418" w:type="dxa"/>
          </w:tcPr>
          <w:p w14:paraId="529B1FDE"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FAM</w:t>
            </w:r>
          </w:p>
        </w:tc>
        <w:tc>
          <w:tcPr>
            <w:tcW w:w="5386" w:type="dxa"/>
          </w:tcPr>
          <w:p w14:paraId="242261CA"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Percentage of shares owned by family firm/members</w:t>
            </w:r>
          </w:p>
        </w:tc>
      </w:tr>
      <w:tr w:rsidR="0069729B" w:rsidRPr="00EB0F4E" w14:paraId="32570D5B" w14:textId="77777777" w:rsidTr="00F0140C">
        <w:tc>
          <w:tcPr>
            <w:tcW w:w="2410" w:type="dxa"/>
          </w:tcPr>
          <w:p w14:paraId="7D290894"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Government Ownership</w:t>
            </w:r>
          </w:p>
        </w:tc>
        <w:tc>
          <w:tcPr>
            <w:tcW w:w="1418" w:type="dxa"/>
          </w:tcPr>
          <w:p w14:paraId="2A3B0BDB"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GOV</w:t>
            </w:r>
          </w:p>
        </w:tc>
        <w:tc>
          <w:tcPr>
            <w:tcW w:w="5386" w:type="dxa"/>
          </w:tcPr>
          <w:p w14:paraId="36428E3A"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Percentage of shares owned by government</w:t>
            </w:r>
          </w:p>
        </w:tc>
      </w:tr>
      <w:tr w:rsidR="0069729B" w:rsidRPr="00EB0F4E" w14:paraId="6F58589C" w14:textId="77777777" w:rsidTr="00F0140C">
        <w:tc>
          <w:tcPr>
            <w:tcW w:w="2410" w:type="dxa"/>
          </w:tcPr>
          <w:p w14:paraId="50A81E12"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Board size</w:t>
            </w:r>
          </w:p>
        </w:tc>
        <w:tc>
          <w:tcPr>
            <w:tcW w:w="1418" w:type="dxa"/>
          </w:tcPr>
          <w:p w14:paraId="5C96735A"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BOARDSIZE</w:t>
            </w:r>
          </w:p>
        </w:tc>
        <w:tc>
          <w:tcPr>
            <w:tcW w:w="5386" w:type="dxa"/>
          </w:tcPr>
          <w:p w14:paraId="12D4233B"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Total number of board members</w:t>
            </w:r>
          </w:p>
        </w:tc>
      </w:tr>
      <w:tr w:rsidR="0069729B" w:rsidRPr="00EB0F4E" w14:paraId="5A2C2F9E" w14:textId="77777777" w:rsidTr="00F0140C">
        <w:tc>
          <w:tcPr>
            <w:tcW w:w="2410" w:type="dxa"/>
          </w:tcPr>
          <w:p w14:paraId="2B4C5222"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 xml:space="preserve">Bank's Profitability </w:t>
            </w:r>
          </w:p>
        </w:tc>
        <w:tc>
          <w:tcPr>
            <w:tcW w:w="1418" w:type="dxa"/>
          </w:tcPr>
          <w:p w14:paraId="29F7A6C3"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ROA</w:t>
            </w:r>
          </w:p>
        </w:tc>
        <w:tc>
          <w:tcPr>
            <w:tcW w:w="5386" w:type="dxa"/>
          </w:tcPr>
          <w:p w14:paraId="1CC55A76"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 xml:space="preserve">Return on Assets </w:t>
            </w:r>
          </w:p>
        </w:tc>
      </w:tr>
      <w:tr w:rsidR="0069729B" w:rsidRPr="00EB0F4E" w14:paraId="5E356CBA" w14:textId="77777777" w:rsidTr="00F0140C">
        <w:tc>
          <w:tcPr>
            <w:tcW w:w="2410" w:type="dxa"/>
            <w:tcBorders>
              <w:bottom w:val="single" w:sz="4" w:space="0" w:color="auto"/>
            </w:tcBorders>
          </w:tcPr>
          <w:p w14:paraId="6C2B9690"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Bank's Size</w:t>
            </w:r>
          </w:p>
        </w:tc>
        <w:tc>
          <w:tcPr>
            <w:tcW w:w="1418" w:type="dxa"/>
            <w:tcBorders>
              <w:bottom w:val="single" w:sz="4" w:space="0" w:color="auto"/>
            </w:tcBorders>
          </w:tcPr>
          <w:p w14:paraId="5F3C0E2B"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SIZE</w:t>
            </w:r>
          </w:p>
        </w:tc>
        <w:tc>
          <w:tcPr>
            <w:tcW w:w="5386" w:type="dxa"/>
            <w:tcBorders>
              <w:bottom w:val="single" w:sz="4" w:space="0" w:color="auto"/>
            </w:tcBorders>
          </w:tcPr>
          <w:p w14:paraId="1DF86B34" w14:textId="77777777" w:rsidR="0069729B" w:rsidRPr="00EB0F4E" w:rsidRDefault="0069729B" w:rsidP="00F0140C">
            <w:pPr>
              <w:jc w:val="both"/>
              <w:rPr>
                <w:rFonts w:ascii="Calibri" w:eastAsia="Times New Roman" w:hAnsi="Calibri" w:cs="Calibri"/>
                <w:sz w:val="24"/>
                <w:szCs w:val="24"/>
              </w:rPr>
            </w:pPr>
            <w:r w:rsidRPr="00EB0F4E">
              <w:rPr>
                <w:rFonts w:ascii="Calibri" w:eastAsia="Times New Roman" w:hAnsi="Calibri" w:cs="Calibri"/>
                <w:sz w:val="24"/>
                <w:szCs w:val="24"/>
              </w:rPr>
              <w:t>Log of Total Assets</w:t>
            </w:r>
          </w:p>
        </w:tc>
      </w:tr>
    </w:tbl>
    <w:p w14:paraId="4298F64F" w14:textId="77777777" w:rsidR="0069729B" w:rsidRPr="00EB0F4E" w:rsidRDefault="0069729B" w:rsidP="0069729B">
      <w:pPr>
        <w:spacing w:after="0" w:line="240" w:lineRule="auto"/>
        <w:jc w:val="both"/>
        <w:rPr>
          <w:rFonts w:ascii="Calibri" w:hAnsi="Calibri" w:cs="Calibri"/>
          <w:sz w:val="24"/>
          <w:szCs w:val="24"/>
        </w:rPr>
      </w:pPr>
    </w:p>
    <w:p w14:paraId="012E0D45" w14:textId="77777777" w:rsidR="0069729B" w:rsidRPr="00EB0F4E" w:rsidRDefault="0069729B" w:rsidP="0069729B">
      <w:pPr>
        <w:widowControl w:val="0"/>
        <w:autoSpaceDE w:val="0"/>
        <w:autoSpaceDN w:val="0"/>
        <w:adjustRightInd w:val="0"/>
        <w:spacing w:after="0" w:line="240" w:lineRule="auto"/>
        <w:jc w:val="both"/>
        <w:rPr>
          <w:rFonts w:ascii="Calibri" w:hAnsi="Calibri" w:cs="Calibri"/>
          <w:i/>
          <w:iCs/>
          <w:sz w:val="24"/>
          <w:szCs w:val="24"/>
        </w:rPr>
      </w:pPr>
      <w:r w:rsidRPr="00EB0F4E">
        <w:rPr>
          <w:rFonts w:ascii="Calibri" w:hAnsi="Calibri" w:cs="Calibri"/>
          <w:i/>
          <w:iCs/>
          <w:sz w:val="24"/>
          <w:szCs w:val="24"/>
        </w:rPr>
        <w:t>Data Analysis</w:t>
      </w:r>
    </w:p>
    <w:p w14:paraId="5EBFB800" w14:textId="77777777" w:rsidR="0069729B" w:rsidRPr="00EB0F4E" w:rsidRDefault="0069729B" w:rsidP="0069729B">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ab/>
        <w:t>Our data analysis is started with descriptive statistics analysis to summarize our data. Correlation test is also performed to detect potential correlations among research variables. Finally, our hypothesis testing is conducted with panel data regression analysis with the following equation:</w:t>
      </w:r>
    </w:p>
    <w:p w14:paraId="7C02D115" w14:textId="77777777" w:rsidR="0069729B" w:rsidRPr="00EB0F4E" w:rsidRDefault="0069729B" w:rsidP="0069729B">
      <w:pPr>
        <w:widowControl w:val="0"/>
        <w:autoSpaceDE w:val="0"/>
        <w:autoSpaceDN w:val="0"/>
        <w:adjustRightInd w:val="0"/>
        <w:spacing w:after="0" w:line="240" w:lineRule="auto"/>
        <w:jc w:val="both"/>
        <w:rPr>
          <w:rFonts w:ascii="Calibri" w:hAnsi="Calibri" w:cs="Calibri"/>
          <w:i/>
          <w:iCs/>
          <w:sz w:val="24"/>
          <w:szCs w:val="24"/>
        </w:rPr>
      </w:pPr>
    </w:p>
    <w:p w14:paraId="131C0C51" w14:textId="77777777" w:rsidR="0069729B" w:rsidRPr="00EB0F4E" w:rsidRDefault="0069729B" w:rsidP="0069729B">
      <w:pPr>
        <w:widowControl w:val="0"/>
        <w:autoSpaceDE w:val="0"/>
        <w:autoSpaceDN w:val="0"/>
        <w:adjustRightInd w:val="0"/>
        <w:spacing w:after="0" w:line="240" w:lineRule="auto"/>
        <w:jc w:val="both"/>
        <w:rPr>
          <w:rFonts w:ascii="Calibri" w:hAnsi="Calibri" w:cs="Calibri"/>
          <w:i/>
          <w:iCs/>
          <w:sz w:val="24"/>
          <w:szCs w:val="24"/>
        </w:rPr>
      </w:pPr>
      <w:r w:rsidRPr="00EB0F4E">
        <w:rPr>
          <w:rFonts w:ascii="Calibri" w:hAnsi="Calibri" w:cs="Calibri"/>
          <w:i/>
          <w:iCs/>
          <w:sz w:val="24"/>
          <w:szCs w:val="24"/>
        </w:rPr>
        <w:t>Board diversity and foreign ownership on sustainability reporting - overall reporting</w:t>
      </w:r>
    </w:p>
    <w:p w14:paraId="3611324E" w14:textId="77777777" w:rsidR="0069729B" w:rsidRPr="00EB0F4E" w:rsidRDefault="0069729B" w:rsidP="0069729B">
      <w:pPr>
        <w:widowControl w:val="0"/>
        <w:tabs>
          <w:tab w:val="right" w:leader="dot" w:pos="8931"/>
        </w:tabs>
        <w:autoSpaceDE w:val="0"/>
        <w:autoSpaceDN w:val="0"/>
        <w:adjustRightInd w:val="0"/>
        <w:spacing w:after="0" w:line="240" w:lineRule="auto"/>
        <w:ind w:left="851" w:hanging="851"/>
        <w:jc w:val="both"/>
        <w:rPr>
          <w:rFonts w:ascii="Calibri" w:hAnsi="Calibri" w:cs="Calibri"/>
          <w:i/>
          <w:iCs/>
          <w:sz w:val="24"/>
          <w:szCs w:val="24"/>
        </w:rPr>
      </w:pPr>
      <w:proofErr w:type="spellStart"/>
      <w:r w:rsidRPr="00EB0F4E">
        <w:rPr>
          <w:rFonts w:ascii="Calibri" w:hAnsi="Calibri" w:cs="Calibri"/>
          <w:i/>
          <w:iCs/>
          <w:sz w:val="24"/>
          <w:szCs w:val="24"/>
        </w:rPr>
        <w:t>GRI</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gramStart"/>
      <w:r w:rsidRPr="00EB0F4E">
        <w:rPr>
          <w:rFonts w:ascii="Calibri" w:hAnsi="Calibri" w:cs="Calibri"/>
          <w:i/>
          <w:iCs/>
          <w:sz w:val="24"/>
          <w:szCs w:val="24"/>
        </w:rPr>
        <w:t>a  +</w:t>
      </w:r>
      <w:proofErr w:type="gramEnd"/>
      <w:r w:rsidRPr="00EB0F4E">
        <w:rPr>
          <w:rFonts w:ascii="Calibri" w:hAnsi="Calibri" w:cs="Calibri"/>
          <w:i/>
          <w:iCs/>
          <w:sz w:val="24"/>
          <w:szCs w:val="24"/>
        </w:rPr>
        <w:t xml:space="preserve">  </w:t>
      </w:r>
      <w:proofErr w:type="spellStart"/>
      <w:r w:rsidRPr="00EB0F4E">
        <w:rPr>
          <w:rFonts w:ascii="Calibri" w:hAnsi="Calibri" w:cs="Calibri"/>
          <w:i/>
          <w:iCs/>
          <w:sz w:val="24"/>
          <w:szCs w:val="24"/>
        </w:rPr>
        <w:t>bBLAU_GENDER</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bBLAU_NAT</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bBLAU_AGE</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bBLAU_EDU</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
    <w:p w14:paraId="4CC39AA0" w14:textId="77777777" w:rsidR="0069729B" w:rsidRPr="00EB0F4E" w:rsidRDefault="0069729B" w:rsidP="0069729B">
      <w:pPr>
        <w:widowControl w:val="0"/>
        <w:tabs>
          <w:tab w:val="right" w:leader="dot" w:pos="8931"/>
        </w:tabs>
        <w:autoSpaceDE w:val="0"/>
        <w:autoSpaceDN w:val="0"/>
        <w:adjustRightInd w:val="0"/>
        <w:spacing w:after="0" w:line="240" w:lineRule="auto"/>
        <w:ind w:left="851" w:hanging="142"/>
        <w:jc w:val="both"/>
        <w:rPr>
          <w:rFonts w:ascii="Calibri" w:hAnsi="Calibri" w:cs="Calibri"/>
          <w:i/>
          <w:iCs/>
          <w:sz w:val="24"/>
          <w:szCs w:val="24"/>
        </w:rPr>
      </w:pPr>
      <w:proofErr w:type="spellStart"/>
      <w:proofErr w:type="gramStart"/>
      <w:r w:rsidRPr="00EB0F4E">
        <w:rPr>
          <w:rFonts w:ascii="Calibri" w:hAnsi="Calibri" w:cs="Calibri"/>
          <w:i/>
          <w:iCs/>
          <w:sz w:val="24"/>
          <w:szCs w:val="24"/>
        </w:rPr>
        <w:lastRenderedPageBreak/>
        <w:t>bFOR</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w:t>
      </w:r>
      <w:proofErr w:type="gramEnd"/>
      <w:r w:rsidRPr="00EB0F4E">
        <w:rPr>
          <w:rFonts w:ascii="Calibri" w:hAnsi="Calibri" w:cs="Calibri"/>
          <w:i/>
          <w:iCs/>
          <w:sz w:val="24"/>
          <w:szCs w:val="24"/>
        </w:rPr>
        <w:t xml:space="preserve">  </w:t>
      </w:r>
      <w:proofErr w:type="spellStart"/>
      <w:r w:rsidRPr="00EB0F4E">
        <w:rPr>
          <w:rFonts w:ascii="Calibri" w:hAnsi="Calibri" w:cs="Calibri"/>
          <w:i/>
          <w:iCs/>
          <w:sz w:val="24"/>
          <w:szCs w:val="24"/>
        </w:rPr>
        <w:t>bFAM</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bGOV</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bBOARDSIZE</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bROA</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bSIZE</w:t>
      </w:r>
      <w:r w:rsidRPr="00EB0F4E">
        <w:rPr>
          <w:rFonts w:ascii="Calibri" w:hAnsi="Calibri" w:cs="Calibri"/>
          <w:i/>
          <w:iCs/>
          <w:sz w:val="24"/>
          <w:szCs w:val="24"/>
          <w:vertAlign w:val="subscript"/>
        </w:rPr>
        <w:t>it</w:t>
      </w:r>
      <w:proofErr w:type="spellEnd"/>
      <w:r w:rsidRPr="00EB0F4E">
        <w:rPr>
          <w:rFonts w:ascii="Calibri" w:hAnsi="Calibri" w:cs="Calibri"/>
          <w:i/>
          <w:iCs/>
          <w:sz w:val="24"/>
          <w:szCs w:val="24"/>
          <w:vertAlign w:val="subscript"/>
        </w:rPr>
        <w:t xml:space="preserve">  </w:t>
      </w:r>
      <w:r w:rsidRPr="00EB0F4E">
        <w:rPr>
          <w:rFonts w:ascii="Calibri" w:hAnsi="Calibri" w:cs="Calibri"/>
          <w:i/>
          <w:iCs/>
          <w:sz w:val="24"/>
          <w:szCs w:val="24"/>
        </w:rPr>
        <w:t>+  e</w:t>
      </w:r>
      <w:r w:rsidRPr="00EB0F4E">
        <w:rPr>
          <w:rFonts w:ascii="Calibri" w:hAnsi="Calibri" w:cs="Calibri"/>
          <w:i/>
          <w:iCs/>
          <w:sz w:val="24"/>
          <w:szCs w:val="24"/>
        </w:rPr>
        <w:tab/>
        <w:t>(1)</w:t>
      </w:r>
    </w:p>
    <w:p w14:paraId="070FC020" w14:textId="77777777" w:rsidR="0069729B" w:rsidRPr="00EB0F4E" w:rsidRDefault="0069729B" w:rsidP="0069729B">
      <w:pPr>
        <w:widowControl w:val="0"/>
        <w:autoSpaceDE w:val="0"/>
        <w:autoSpaceDN w:val="0"/>
        <w:adjustRightInd w:val="0"/>
        <w:spacing w:after="0" w:line="240" w:lineRule="auto"/>
        <w:jc w:val="both"/>
        <w:rPr>
          <w:rFonts w:ascii="Calibri" w:hAnsi="Calibri" w:cs="Calibri"/>
          <w:i/>
          <w:iCs/>
          <w:sz w:val="24"/>
          <w:szCs w:val="24"/>
        </w:rPr>
      </w:pPr>
    </w:p>
    <w:p w14:paraId="024A307E" w14:textId="77777777" w:rsidR="0069729B" w:rsidRPr="00EB0F4E" w:rsidRDefault="0069729B" w:rsidP="0069729B">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i/>
          <w:iCs/>
          <w:sz w:val="24"/>
          <w:szCs w:val="24"/>
        </w:rPr>
        <w:t>Board diversity and foreign ownership on sustainability reporting - sub reporting</w:t>
      </w:r>
    </w:p>
    <w:p w14:paraId="73331355" w14:textId="77777777" w:rsidR="0069729B" w:rsidRPr="00EB0F4E" w:rsidRDefault="0069729B" w:rsidP="0069729B">
      <w:pPr>
        <w:widowControl w:val="0"/>
        <w:tabs>
          <w:tab w:val="right" w:leader="dot" w:pos="8931"/>
        </w:tabs>
        <w:autoSpaceDE w:val="0"/>
        <w:autoSpaceDN w:val="0"/>
        <w:adjustRightInd w:val="0"/>
        <w:spacing w:after="0" w:line="240" w:lineRule="auto"/>
        <w:ind w:left="1276" w:hanging="1276"/>
        <w:jc w:val="both"/>
        <w:rPr>
          <w:rFonts w:ascii="Calibri" w:hAnsi="Calibri" w:cs="Calibri"/>
          <w:i/>
          <w:iCs/>
          <w:sz w:val="24"/>
          <w:szCs w:val="24"/>
        </w:rPr>
      </w:pPr>
      <w:r w:rsidRPr="00EB0F4E">
        <w:rPr>
          <w:rFonts w:ascii="Calibri" w:hAnsi="Calibri" w:cs="Calibri"/>
          <w:i/>
          <w:iCs/>
          <w:sz w:val="24"/>
          <w:szCs w:val="24"/>
        </w:rPr>
        <w:t>GRI__</w:t>
      </w:r>
      <w:proofErr w:type="spellStart"/>
      <w:proofErr w:type="gramStart"/>
      <w:r w:rsidRPr="00EB0F4E">
        <w:rPr>
          <w:rFonts w:ascii="Calibri" w:hAnsi="Calibri" w:cs="Calibri"/>
          <w:i/>
          <w:iCs/>
          <w:sz w:val="24"/>
          <w:szCs w:val="24"/>
        </w:rPr>
        <w:t>ECO</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w:t>
      </w:r>
      <w:proofErr w:type="gramEnd"/>
      <w:r w:rsidRPr="00EB0F4E">
        <w:rPr>
          <w:rFonts w:ascii="Calibri" w:hAnsi="Calibri" w:cs="Calibri"/>
          <w:i/>
          <w:iCs/>
          <w:sz w:val="24"/>
          <w:szCs w:val="24"/>
        </w:rPr>
        <w:t xml:space="preserve"> a  +  </w:t>
      </w:r>
      <w:proofErr w:type="spellStart"/>
      <w:r w:rsidRPr="00EB0F4E">
        <w:rPr>
          <w:rFonts w:ascii="Calibri" w:hAnsi="Calibri" w:cs="Calibri"/>
          <w:i/>
          <w:iCs/>
          <w:sz w:val="24"/>
          <w:szCs w:val="24"/>
        </w:rPr>
        <w:t>bBLAU_GENDER</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bBLAU_NAT</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bBLAU_AGE</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bBLAU_EDU</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bFOR</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bFAM</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bGOV</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bBOARDSIZE</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bROA</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bSIZE</w:t>
      </w:r>
      <w:r w:rsidRPr="00EB0F4E">
        <w:rPr>
          <w:rFonts w:ascii="Calibri" w:hAnsi="Calibri" w:cs="Calibri"/>
          <w:i/>
          <w:iCs/>
          <w:sz w:val="24"/>
          <w:szCs w:val="24"/>
          <w:vertAlign w:val="subscript"/>
        </w:rPr>
        <w:t>it</w:t>
      </w:r>
      <w:proofErr w:type="spellEnd"/>
      <w:r w:rsidRPr="00EB0F4E">
        <w:rPr>
          <w:rFonts w:ascii="Calibri" w:hAnsi="Calibri" w:cs="Calibri"/>
          <w:i/>
          <w:iCs/>
          <w:sz w:val="24"/>
          <w:szCs w:val="24"/>
          <w:vertAlign w:val="subscript"/>
        </w:rPr>
        <w:t xml:space="preserve">  </w:t>
      </w:r>
      <w:r w:rsidRPr="00EB0F4E">
        <w:rPr>
          <w:rFonts w:ascii="Calibri" w:hAnsi="Calibri" w:cs="Calibri"/>
          <w:i/>
          <w:iCs/>
          <w:sz w:val="24"/>
          <w:szCs w:val="24"/>
        </w:rPr>
        <w:t>+  e</w:t>
      </w:r>
      <w:r w:rsidRPr="00EB0F4E">
        <w:rPr>
          <w:rFonts w:ascii="Calibri" w:hAnsi="Calibri" w:cs="Calibri"/>
          <w:i/>
          <w:iCs/>
          <w:sz w:val="24"/>
          <w:szCs w:val="24"/>
        </w:rPr>
        <w:tab/>
        <w:t>(2a)</w:t>
      </w:r>
    </w:p>
    <w:p w14:paraId="0979A19D" w14:textId="77777777" w:rsidR="0069729B" w:rsidRPr="00EB0F4E" w:rsidRDefault="0069729B" w:rsidP="0069729B">
      <w:pPr>
        <w:widowControl w:val="0"/>
        <w:tabs>
          <w:tab w:val="right" w:leader="dot" w:pos="8931"/>
        </w:tabs>
        <w:autoSpaceDE w:val="0"/>
        <w:autoSpaceDN w:val="0"/>
        <w:adjustRightInd w:val="0"/>
        <w:spacing w:after="0" w:line="240" w:lineRule="auto"/>
        <w:ind w:left="1276" w:hanging="1276"/>
        <w:jc w:val="both"/>
        <w:rPr>
          <w:rFonts w:ascii="Calibri" w:hAnsi="Calibri" w:cs="Calibri"/>
          <w:i/>
          <w:iCs/>
          <w:sz w:val="24"/>
          <w:szCs w:val="24"/>
        </w:rPr>
      </w:pPr>
      <w:r w:rsidRPr="00EB0F4E">
        <w:rPr>
          <w:rFonts w:ascii="Calibri" w:hAnsi="Calibri" w:cs="Calibri"/>
          <w:i/>
          <w:iCs/>
          <w:sz w:val="24"/>
          <w:szCs w:val="24"/>
        </w:rPr>
        <w:t>GRI__</w:t>
      </w:r>
      <w:proofErr w:type="spellStart"/>
      <w:proofErr w:type="gramStart"/>
      <w:r w:rsidRPr="00EB0F4E">
        <w:rPr>
          <w:rFonts w:ascii="Calibri" w:hAnsi="Calibri" w:cs="Calibri"/>
          <w:i/>
          <w:iCs/>
          <w:sz w:val="24"/>
          <w:szCs w:val="24"/>
        </w:rPr>
        <w:t>ENV</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w:t>
      </w:r>
      <w:proofErr w:type="gramEnd"/>
      <w:r w:rsidRPr="00EB0F4E">
        <w:rPr>
          <w:rFonts w:ascii="Calibri" w:hAnsi="Calibri" w:cs="Calibri"/>
          <w:i/>
          <w:iCs/>
          <w:sz w:val="24"/>
          <w:szCs w:val="24"/>
        </w:rPr>
        <w:t xml:space="preserve"> a  +  </w:t>
      </w:r>
      <w:proofErr w:type="spellStart"/>
      <w:r w:rsidRPr="00EB0F4E">
        <w:rPr>
          <w:rFonts w:ascii="Calibri" w:hAnsi="Calibri" w:cs="Calibri"/>
          <w:i/>
          <w:iCs/>
          <w:sz w:val="24"/>
          <w:szCs w:val="24"/>
        </w:rPr>
        <w:t>bBLAU_GENDER</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bBLAU_NAT</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bBLAU_AGE</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bBLAU_EDU</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bFOR</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bFAM</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bGOV</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bBOARDSIZE</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bROA</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bSIZE</w:t>
      </w:r>
      <w:r w:rsidRPr="00EB0F4E">
        <w:rPr>
          <w:rFonts w:ascii="Calibri" w:hAnsi="Calibri" w:cs="Calibri"/>
          <w:i/>
          <w:iCs/>
          <w:sz w:val="24"/>
          <w:szCs w:val="24"/>
          <w:vertAlign w:val="subscript"/>
        </w:rPr>
        <w:t>it</w:t>
      </w:r>
      <w:proofErr w:type="spellEnd"/>
      <w:r w:rsidRPr="00EB0F4E">
        <w:rPr>
          <w:rFonts w:ascii="Calibri" w:hAnsi="Calibri" w:cs="Calibri"/>
          <w:i/>
          <w:iCs/>
          <w:sz w:val="24"/>
          <w:szCs w:val="24"/>
          <w:vertAlign w:val="subscript"/>
        </w:rPr>
        <w:t xml:space="preserve">  </w:t>
      </w:r>
      <w:r w:rsidRPr="00EB0F4E">
        <w:rPr>
          <w:rFonts w:ascii="Calibri" w:hAnsi="Calibri" w:cs="Calibri"/>
          <w:i/>
          <w:iCs/>
          <w:sz w:val="24"/>
          <w:szCs w:val="24"/>
        </w:rPr>
        <w:t>+ e</w:t>
      </w:r>
      <w:r w:rsidRPr="00EB0F4E">
        <w:rPr>
          <w:rFonts w:ascii="Calibri" w:hAnsi="Calibri" w:cs="Calibri"/>
          <w:i/>
          <w:iCs/>
          <w:sz w:val="24"/>
          <w:szCs w:val="24"/>
        </w:rPr>
        <w:tab/>
        <w:t>(2b)</w:t>
      </w:r>
    </w:p>
    <w:p w14:paraId="1A39C6A6" w14:textId="77777777" w:rsidR="0069729B" w:rsidRPr="00EB0F4E" w:rsidRDefault="0069729B" w:rsidP="0069729B">
      <w:pPr>
        <w:widowControl w:val="0"/>
        <w:tabs>
          <w:tab w:val="right" w:leader="dot" w:pos="8931"/>
        </w:tabs>
        <w:autoSpaceDE w:val="0"/>
        <w:autoSpaceDN w:val="0"/>
        <w:adjustRightInd w:val="0"/>
        <w:spacing w:after="0" w:line="240" w:lineRule="auto"/>
        <w:ind w:left="1276" w:hanging="1276"/>
        <w:jc w:val="both"/>
        <w:rPr>
          <w:rFonts w:ascii="Calibri" w:hAnsi="Calibri" w:cs="Calibri"/>
          <w:i/>
          <w:iCs/>
          <w:sz w:val="24"/>
          <w:szCs w:val="24"/>
        </w:rPr>
      </w:pPr>
      <w:r w:rsidRPr="00EB0F4E">
        <w:rPr>
          <w:rFonts w:ascii="Calibri" w:hAnsi="Calibri" w:cs="Calibri"/>
          <w:i/>
          <w:iCs/>
          <w:sz w:val="24"/>
          <w:szCs w:val="24"/>
        </w:rPr>
        <w:t>GRI__</w:t>
      </w:r>
      <w:proofErr w:type="spellStart"/>
      <w:proofErr w:type="gramStart"/>
      <w:r w:rsidRPr="00EB0F4E">
        <w:rPr>
          <w:rFonts w:ascii="Calibri" w:hAnsi="Calibri" w:cs="Calibri"/>
          <w:i/>
          <w:iCs/>
          <w:sz w:val="24"/>
          <w:szCs w:val="24"/>
        </w:rPr>
        <w:t>SOC</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w:t>
      </w:r>
      <w:proofErr w:type="gramEnd"/>
      <w:r w:rsidRPr="00EB0F4E">
        <w:rPr>
          <w:rFonts w:ascii="Calibri" w:hAnsi="Calibri" w:cs="Calibri"/>
          <w:i/>
          <w:iCs/>
          <w:sz w:val="24"/>
          <w:szCs w:val="24"/>
        </w:rPr>
        <w:t xml:space="preserve"> a  +  </w:t>
      </w:r>
      <w:proofErr w:type="spellStart"/>
      <w:r w:rsidRPr="00EB0F4E">
        <w:rPr>
          <w:rFonts w:ascii="Calibri" w:hAnsi="Calibri" w:cs="Calibri"/>
          <w:i/>
          <w:iCs/>
          <w:sz w:val="24"/>
          <w:szCs w:val="24"/>
        </w:rPr>
        <w:t>bBLAU_GENDER</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bBLAU_NAT</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bBLAU_AGE</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bBLAU_EDU</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bFOR</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bFAM</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bGOV</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bBOARDSIZE</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bROA</w:t>
      </w:r>
      <w:r w:rsidRPr="00EB0F4E">
        <w:rPr>
          <w:rFonts w:ascii="Calibri" w:hAnsi="Calibri" w:cs="Calibri"/>
          <w:i/>
          <w:iCs/>
          <w:sz w:val="24"/>
          <w:szCs w:val="24"/>
          <w:vertAlign w:val="subscript"/>
        </w:rPr>
        <w:t>it</w:t>
      </w:r>
      <w:proofErr w:type="spellEnd"/>
      <w:r w:rsidRPr="00EB0F4E">
        <w:rPr>
          <w:rFonts w:ascii="Calibri" w:hAnsi="Calibri" w:cs="Calibri"/>
          <w:i/>
          <w:iCs/>
          <w:sz w:val="24"/>
          <w:szCs w:val="24"/>
        </w:rPr>
        <w:t xml:space="preserve"> +  </w:t>
      </w:r>
      <w:proofErr w:type="spellStart"/>
      <w:r w:rsidRPr="00EB0F4E">
        <w:rPr>
          <w:rFonts w:ascii="Calibri" w:hAnsi="Calibri" w:cs="Calibri"/>
          <w:i/>
          <w:iCs/>
          <w:sz w:val="24"/>
          <w:szCs w:val="24"/>
        </w:rPr>
        <w:t>bSIZE</w:t>
      </w:r>
      <w:r w:rsidRPr="00EB0F4E">
        <w:rPr>
          <w:rFonts w:ascii="Calibri" w:hAnsi="Calibri" w:cs="Calibri"/>
          <w:i/>
          <w:iCs/>
          <w:sz w:val="24"/>
          <w:szCs w:val="24"/>
          <w:vertAlign w:val="subscript"/>
        </w:rPr>
        <w:t>it</w:t>
      </w:r>
      <w:proofErr w:type="spellEnd"/>
      <w:r w:rsidRPr="00EB0F4E">
        <w:rPr>
          <w:rFonts w:ascii="Calibri" w:hAnsi="Calibri" w:cs="Calibri"/>
          <w:i/>
          <w:iCs/>
          <w:sz w:val="24"/>
          <w:szCs w:val="24"/>
          <w:vertAlign w:val="subscript"/>
        </w:rPr>
        <w:t xml:space="preserve">  </w:t>
      </w:r>
      <w:r w:rsidRPr="00EB0F4E">
        <w:rPr>
          <w:rFonts w:ascii="Calibri" w:hAnsi="Calibri" w:cs="Calibri"/>
          <w:i/>
          <w:iCs/>
          <w:sz w:val="24"/>
          <w:szCs w:val="24"/>
        </w:rPr>
        <w:t>+e</w:t>
      </w:r>
      <w:r w:rsidRPr="00EB0F4E">
        <w:rPr>
          <w:rFonts w:ascii="Calibri" w:hAnsi="Calibri" w:cs="Calibri"/>
          <w:i/>
          <w:iCs/>
          <w:sz w:val="24"/>
          <w:szCs w:val="24"/>
        </w:rPr>
        <w:tab/>
        <w:t>(2c)</w:t>
      </w:r>
    </w:p>
    <w:p w14:paraId="35869424" w14:textId="77777777" w:rsidR="0069729B" w:rsidRPr="00EB0F4E" w:rsidRDefault="0069729B" w:rsidP="0069729B">
      <w:pPr>
        <w:widowControl w:val="0"/>
        <w:autoSpaceDE w:val="0"/>
        <w:autoSpaceDN w:val="0"/>
        <w:adjustRightInd w:val="0"/>
        <w:spacing w:after="0" w:line="240" w:lineRule="auto"/>
        <w:jc w:val="both"/>
        <w:rPr>
          <w:rFonts w:ascii="Calibri" w:hAnsi="Calibri" w:cs="Calibri"/>
          <w:sz w:val="24"/>
          <w:szCs w:val="24"/>
        </w:rPr>
      </w:pPr>
    </w:p>
    <w:p w14:paraId="06EDE7A6" w14:textId="77777777" w:rsidR="0069729B" w:rsidRPr="00EB0F4E" w:rsidRDefault="0069729B" w:rsidP="0069729B">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sz w:val="24"/>
          <w:szCs w:val="24"/>
        </w:rPr>
        <w:t>Results and Discussion</w:t>
      </w:r>
    </w:p>
    <w:p w14:paraId="6FDC721D" w14:textId="77777777" w:rsidR="0069729B" w:rsidRPr="00EB0F4E" w:rsidRDefault="0069729B" w:rsidP="0069729B">
      <w:pPr>
        <w:widowControl w:val="0"/>
        <w:tabs>
          <w:tab w:val="left" w:pos="567"/>
        </w:tabs>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ab/>
        <w:t>We conduct descriptive statistics analysis to obtain the summary of our research data. The result demonstrates that the implementation of sustainability reporting in Indonesian listed banks is still considerably low with the average disclosure level only at 13.3 percent. The highest disclosure covers 68.4 percent of all sustainability information while the lowest is at 0 in which there are several banks that have not implement sustainability reporting. Board’s gender diversity in this research observations exhibit mean value of 0.328, meaning that despite the board is dominated by male board members, the female board members already have considerable presence in the board. As for the board’s nationality diversity, the average mean value is 0.092, implying that the board’s nationality diversity is still quite low. It is still dominated by local board members in which the presence of foreign board members is still limited. Then, the age diversity has mean value of 0.216 that implies that the diversity is considerably still low. Indeed, the board is still dominated by older board members while younger board members’ existence is still limited. Finally, the education diversity in the board members is still quite low with the average value of 0.289. The result of descriptive statistics analysis is presented as follows:</w:t>
      </w:r>
    </w:p>
    <w:p w14:paraId="7712C62E" w14:textId="77777777" w:rsidR="0069729B" w:rsidRPr="00EB0F4E" w:rsidRDefault="0069729B" w:rsidP="0069729B">
      <w:pPr>
        <w:widowControl w:val="0"/>
        <w:autoSpaceDE w:val="0"/>
        <w:autoSpaceDN w:val="0"/>
        <w:adjustRightInd w:val="0"/>
        <w:spacing w:after="0" w:line="240" w:lineRule="auto"/>
        <w:jc w:val="both"/>
        <w:rPr>
          <w:rFonts w:ascii="Calibri" w:hAnsi="Calibri" w:cs="Calibri"/>
          <w:b/>
          <w:bCs/>
          <w:sz w:val="24"/>
          <w:szCs w:val="24"/>
        </w:rPr>
      </w:pPr>
    </w:p>
    <w:p w14:paraId="6635CD6F" w14:textId="77777777" w:rsidR="0069729B" w:rsidRDefault="0069729B" w:rsidP="0069729B">
      <w:pPr>
        <w:widowControl w:val="0"/>
        <w:autoSpaceDE w:val="0"/>
        <w:autoSpaceDN w:val="0"/>
        <w:adjustRightInd w:val="0"/>
        <w:spacing w:after="0" w:line="240" w:lineRule="auto"/>
        <w:jc w:val="both"/>
        <w:rPr>
          <w:rFonts w:ascii="Calibri" w:hAnsi="Calibri" w:cs="Calibri"/>
          <w:sz w:val="24"/>
          <w:szCs w:val="24"/>
        </w:rPr>
      </w:pPr>
      <w:r w:rsidRPr="0069729B">
        <w:rPr>
          <w:rFonts w:ascii="Calibri" w:hAnsi="Calibri" w:cs="Calibri"/>
          <w:sz w:val="24"/>
          <w:szCs w:val="24"/>
        </w:rPr>
        <w:t>Table 2</w:t>
      </w:r>
    </w:p>
    <w:p w14:paraId="2649D876" w14:textId="3916F7F0" w:rsidR="0069729B" w:rsidRPr="0069729B" w:rsidRDefault="0069729B" w:rsidP="0069729B">
      <w:pPr>
        <w:widowControl w:val="0"/>
        <w:autoSpaceDE w:val="0"/>
        <w:autoSpaceDN w:val="0"/>
        <w:adjustRightInd w:val="0"/>
        <w:spacing w:after="0" w:line="240" w:lineRule="auto"/>
        <w:jc w:val="both"/>
        <w:rPr>
          <w:rFonts w:ascii="Calibri" w:hAnsi="Calibri" w:cs="Calibri"/>
          <w:i/>
          <w:iCs/>
          <w:sz w:val="24"/>
          <w:szCs w:val="24"/>
        </w:rPr>
      </w:pPr>
      <w:r w:rsidRPr="0069729B">
        <w:rPr>
          <w:rFonts w:ascii="Calibri" w:hAnsi="Calibri" w:cs="Calibri"/>
          <w:i/>
          <w:iCs/>
          <w:sz w:val="24"/>
          <w:szCs w:val="24"/>
        </w:rPr>
        <w:t>Descriptive Statistics</w:t>
      </w:r>
    </w:p>
    <w:tbl>
      <w:tblPr>
        <w:tblW w:w="5000" w:type="pct"/>
        <w:jc w:val="center"/>
        <w:tblLook w:val="0000" w:firstRow="0" w:lastRow="0" w:firstColumn="0" w:lastColumn="0" w:noHBand="0" w:noVBand="0"/>
      </w:tblPr>
      <w:tblGrid>
        <w:gridCol w:w="2133"/>
        <w:gridCol w:w="858"/>
        <w:gridCol w:w="1506"/>
        <w:gridCol w:w="1506"/>
        <w:gridCol w:w="1506"/>
        <w:gridCol w:w="1506"/>
        <w:gridCol w:w="11"/>
      </w:tblGrid>
      <w:tr w:rsidR="0069729B" w:rsidRPr="00EB0F4E" w14:paraId="3F3E40D9" w14:textId="77777777" w:rsidTr="0069729B">
        <w:trPr>
          <w:gridAfter w:val="1"/>
          <w:wAfter w:w="6" w:type="pct"/>
          <w:jc w:val="center"/>
        </w:trPr>
        <w:tc>
          <w:tcPr>
            <w:tcW w:w="1182" w:type="pct"/>
            <w:tcBorders>
              <w:top w:val="single" w:sz="4" w:space="0" w:color="auto"/>
              <w:left w:val="nil"/>
              <w:bottom w:val="single" w:sz="10" w:space="0" w:color="auto"/>
              <w:right w:val="nil"/>
            </w:tcBorders>
          </w:tcPr>
          <w:p w14:paraId="7A01E32E" w14:textId="77777777" w:rsidR="0069729B" w:rsidRPr="00EB0F4E" w:rsidRDefault="0069729B" w:rsidP="00F0140C">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sz w:val="24"/>
                <w:szCs w:val="24"/>
              </w:rPr>
              <w:t xml:space="preserve"> Variable</w:t>
            </w:r>
          </w:p>
        </w:tc>
        <w:tc>
          <w:tcPr>
            <w:tcW w:w="476" w:type="pct"/>
            <w:tcBorders>
              <w:top w:val="single" w:sz="4" w:space="0" w:color="auto"/>
              <w:left w:val="nil"/>
              <w:bottom w:val="single" w:sz="10" w:space="0" w:color="auto"/>
              <w:right w:val="nil"/>
            </w:tcBorders>
          </w:tcPr>
          <w:p w14:paraId="35756462" w14:textId="77777777" w:rsidR="0069729B" w:rsidRPr="00EB0F4E" w:rsidRDefault="0069729B" w:rsidP="00F0140C">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sz w:val="24"/>
                <w:szCs w:val="24"/>
              </w:rPr>
              <w:t xml:space="preserve"> </w:t>
            </w:r>
            <w:proofErr w:type="spellStart"/>
            <w:r w:rsidRPr="00EB0F4E">
              <w:rPr>
                <w:rFonts w:ascii="Calibri" w:hAnsi="Calibri" w:cs="Calibri"/>
                <w:b/>
                <w:bCs/>
                <w:sz w:val="24"/>
                <w:szCs w:val="24"/>
              </w:rPr>
              <w:t>Obs</w:t>
            </w:r>
            <w:proofErr w:type="spellEnd"/>
          </w:p>
        </w:tc>
        <w:tc>
          <w:tcPr>
            <w:tcW w:w="834" w:type="pct"/>
            <w:tcBorders>
              <w:top w:val="single" w:sz="4" w:space="0" w:color="auto"/>
              <w:left w:val="nil"/>
              <w:bottom w:val="single" w:sz="10" w:space="0" w:color="auto"/>
              <w:right w:val="nil"/>
            </w:tcBorders>
          </w:tcPr>
          <w:p w14:paraId="7398C310" w14:textId="77777777" w:rsidR="0069729B" w:rsidRPr="00EB0F4E" w:rsidRDefault="0069729B" w:rsidP="00F0140C">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sz w:val="24"/>
                <w:szCs w:val="24"/>
              </w:rPr>
              <w:t xml:space="preserve"> Mean</w:t>
            </w:r>
          </w:p>
        </w:tc>
        <w:tc>
          <w:tcPr>
            <w:tcW w:w="834" w:type="pct"/>
            <w:tcBorders>
              <w:top w:val="single" w:sz="4" w:space="0" w:color="auto"/>
              <w:left w:val="nil"/>
              <w:bottom w:val="single" w:sz="10" w:space="0" w:color="auto"/>
              <w:right w:val="nil"/>
            </w:tcBorders>
          </w:tcPr>
          <w:p w14:paraId="4680373F" w14:textId="77777777" w:rsidR="0069729B" w:rsidRPr="00EB0F4E" w:rsidRDefault="0069729B" w:rsidP="00F0140C">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sz w:val="24"/>
                <w:szCs w:val="24"/>
              </w:rPr>
              <w:t xml:space="preserve"> </w:t>
            </w:r>
            <w:proofErr w:type="spellStart"/>
            <w:r w:rsidRPr="00EB0F4E">
              <w:rPr>
                <w:rFonts w:ascii="Calibri" w:hAnsi="Calibri" w:cs="Calibri"/>
                <w:b/>
                <w:bCs/>
                <w:sz w:val="24"/>
                <w:szCs w:val="24"/>
              </w:rPr>
              <w:t>Std.Dev</w:t>
            </w:r>
            <w:proofErr w:type="spellEnd"/>
            <w:r w:rsidRPr="00EB0F4E">
              <w:rPr>
                <w:rFonts w:ascii="Calibri" w:hAnsi="Calibri" w:cs="Calibri"/>
                <w:b/>
                <w:bCs/>
                <w:sz w:val="24"/>
                <w:szCs w:val="24"/>
              </w:rPr>
              <w:t>.</w:t>
            </w:r>
          </w:p>
        </w:tc>
        <w:tc>
          <w:tcPr>
            <w:tcW w:w="834" w:type="pct"/>
            <w:tcBorders>
              <w:top w:val="single" w:sz="4" w:space="0" w:color="auto"/>
              <w:left w:val="nil"/>
              <w:bottom w:val="single" w:sz="10" w:space="0" w:color="auto"/>
              <w:right w:val="nil"/>
            </w:tcBorders>
          </w:tcPr>
          <w:p w14:paraId="3FD43E3C" w14:textId="77777777" w:rsidR="0069729B" w:rsidRPr="00EB0F4E" w:rsidRDefault="0069729B" w:rsidP="00F0140C">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sz w:val="24"/>
                <w:szCs w:val="24"/>
              </w:rPr>
              <w:t xml:space="preserve"> Min</w:t>
            </w:r>
          </w:p>
        </w:tc>
        <w:tc>
          <w:tcPr>
            <w:tcW w:w="834" w:type="pct"/>
            <w:tcBorders>
              <w:top w:val="single" w:sz="4" w:space="0" w:color="auto"/>
              <w:left w:val="nil"/>
              <w:bottom w:val="single" w:sz="10" w:space="0" w:color="auto"/>
              <w:right w:val="nil"/>
            </w:tcBorders>
          </w:tcPr>
          <w:p w14:paraId="4C644F2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sz w:val="24"/>
                <w:szCs w:val="24"/>
              </w:rPr>
              <w:t xml:space="preserve"> Max</w:t>
            </w:r>
          </w:p>
        </w:tc>
      </w:tr>
      <w:tr w:rsidR="0069729B" w:rsidRPr="00EB0F4E" w14:paraId="14CCF108" w14:textId="77777777" w:rsidTr="0069729B">
        <w:trPr>
          <w:gridAfter w:val="1"/>
          <w:wAfter w:w="6" w:type="pct"/>
          <w:jc w:val="center"/>
        </w:trPr>
        <w:tc>
          <w:tcPr>
            <w:tcW w:w="1182" w:type="pct"/>
            <w:tcBorders>
              <w:top w:val="nil"/>
              <w:left w:val="nil"/>
              <w:bottom w:val="nil"/>
              <w:right w:val="nil"/>
            </w:tcBorders>
          </w:tcPr>
          <w:p w14:paraId="524A93F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 xml:space="preserve"> GRI</w:t>
            </w:r>
          </w:p>
        </w:tc>
        <w:tc>
          <w:tcPr>
            <w:tcW w:w="476" w:type="pct"/>
            <w:tcBorders>
              <w:top w:val="nil"/>
              <w:left w:val="nil"/>
              <w:bottom w:val="nil"/>
              <w:right w:val="nil"/>
            </w:tcBorders>
          </w:tcPr>
          <w:p w14:paraId="121AF0A7"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210</w:t>
            </w:r>
          </w:p>
        </w:tc>
        <w:tc>
          <w:tcPr>
            <w:tcW w:w="834" w:type="pct"/>
            <w:tcBorders>
              <w:top w:val="nil"/>
              <w:left w:val="nil"/>
              <w:bottom w:val="nil"/>
              <w:right w:val="nil"/>
            </w:tcBorders>
          </w:tcPr>
          <w:p w14:paraId="2E8EF78F"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0.133</w:t>
            </w:r>
          </w:p>
        </w:tc>
        <w:tc>
          <w:tcPr>
            <w:tcW w:w="834" w:type="pct"/>
            <w:tcBorders>
              <w:top w:val="nil"/>
              <w:left w:val="nil"/>
              <w:bottom w:val="nil"/>
              <w:right w:val="nil"/>
            </w:tcBorders>
          </w:tcPr>
          <w:p w14:paraId="3DBBE7F7"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0.206</w:t>
            </w:r>
          </w:p>
        </w:tc>
        <w:tc>
          <w:tcPr>
            <w:tcW w:w="834" w:type="pct"/>
            <w:tcBorders>
              <w:top w:val="nil"/>
              <w:left w:val="nil"/>
              <w:bottom w:val="nil"/>
              <w:right w:val="nil"/>
            </w:tcBorders>
          </w:tcPr>
          <w:p w14:paraId="6CBEBF5A"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w:t>
            </w:r>
          </w:p>
        </w:tc>
        <w:tc>
          <w:tcPr>
            <w:tcW w:w="834" w:type="pct"/>
            <w:tcBorders>
              <w:top w:val="nil"/>
              <w:left w:val="nil"/>
              <w:bottom w:val="nil"/>
              <w:right w:val="nil"/>
            </w:tcBorders>
          </w:tcPr>
          <w:p w14:paraId="6CBFCA9E"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0.684</w:t>
            </w:r>
          </w:p>
        </w:tc>
      </w:tr>
      <w:tr w:rsidR="0069729B" w:rsidRPr="00EB0F4E" w14:paraId="2AF872C5" w14:textId="77777777" w:rsidTr="0069729B">
        <w:trPr>
          <w:gridAfter w:val="1"/>
          <w:wAfter w:w="6" w:type="pct"/>
          <w:jc w:val="center"/>
        </w:trPr>
        <w:tc>
          <w:tcPr>
            <w:tcW w:w="1182" w:type="pct"/>
            <w:tcBorders>
              <w:top w:val="nil"/>
              <w:left w:val="nil"/>
              <w:bottom w:val="nil"/>
              <w:right w:val="nil"/>
            </w:tcBorders>
          </w:tcPr>
          <w:p w14:paraId="15478D76"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 xml:space="preserve"> BLAU_GENDER</w:t>
            </w:r>
          </w:p>
        </w:tc>
        <w:tc>
          <w:tcPr>
            <w:tcW w:w="476" w:type="pct"/>
            <w:tcBorders>
              <w:top w:val="nil"/>
              <w:left w:val="nil"/>
              <w:bottom w:val="nil"/>
              <w:right w:val="nil"/>
            </w:tcBorders>
          </w:tcPr>
          <w:p w14:paraId="750A9B44"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210</w:t>
            </w:r>
          </w:p>
        </w:tc>
        <w:tc>
          <w:tcPr>
            <w:tcW w:w="834" w:type="pct"/>
            <w:tcBorders>
              <w:top w:val="nil"/>
              <w:left w:val="nil"/>
              <w:bottom w:val="nil"/>
              <w:right w:val="nil"/>
            </w:tcBorders>
          </w:tcPr>
          <w:p w14:paraId="32F370C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0.328</w:t>
            </w:r>
          </w:p>
        </w:tc>
        <w:tc>
          <w:tcPr>
            <w:tcW w:w="834" w:type="pct"/>
            <w:tcBorders>
              <w:top w:val="nil"/>
              <w:left w:val="nil"/>
              <w:bottom w:val="nil"/>
              <w:right w:val="nil"/>
            </w:tcBorders>
          </w:tcPr>
          <w:p w14:paraId="403A1327"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0.194</w:t>
            </w:r>
          </w:p>
        </w:tc>
        <w:tc>
          <w:tcPr>
            <w:tcW w:w="834" w:type="pct"/>
            <w:tcBorders>
              <w:top w:val="nil"/>
              <w:left w:val="nil"/>
              <w:bottom w:val="nil"/>
              <w:right w:val="nil"/>
            </w:tcBorders>
          </w:tcPr>
          <w:p w14:paraId="0EFD93F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w:t>
            </w:r>
          </w:p>
        </w:tc>
        <w:tc>
          <w:tcPr>
            <w:tcW w:w="834" w:type="pct"/>
            <w:tcBorders>
              <w:top w:val="nil"/>
              <w:left w:val="nil"/>
              <w:bottom w:val="nil"/>
              <w:right w:val="nil"/>
            </w:tcBorders>
          </w:tcPr>
          <w:p w14:paraId="31231C11"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0.5</w:t>
            </w:r>
          </w:p>
        </w:tc>
      </w:tr>
      <w:tr w:rsidR="0069729B" w:rsidRPr="00EB0F4E" w14:paraId="7A270700" w14:textId="77777777" w:rsidTr="0069729B">
        <w:trPr>
          <w:gridAfter w:val="1"/>
          <w:wAfter w:w="6" w:type="pct"/>
          <w:jc w:val="center"/>
        </w:trPr>
        <w:tc>
          <w:tcPr>
            <w:tcW w:w="1182" w:type="pct"/>
            <w:tcBorders>
              <w:top w:val="nil"/>
              <w:left w:val="nil"/>
              <w:bottom w:val="nil"/>
              <w:right w:val="nil"/>
            </w:tcBorders>
          </w:tcPr>
          <w:p w14:paraId="1857CB0E"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 xml:space="preserve"> BLAU_NAT</w:t>
            </w:r>
          </w:p>
        </w:tc>
        <w:tc>
          <w:tcPr>
            <w:tcW w:w="476" w:type="pct"/>
            <w:tcBorders>
              <w:top w:val="nil"/>
              <w:left w:val="nil"/>
              <w:bottom w:val="nil"/>
              <w:right w:val="nil"/>
            </w:tcBorders>
          </w:tcPr>
          <w:p w14:paraId="7B15A99B"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210</w:t>
            </w:r>
          </w:p>
        </w:tc>
        <w:tc>
          <w:tcPr>
            <w:tcW w:w="834" w:type="pct"/>
            <w:tcBorders>
              <w:top w:val="nil"/>
              <w:left w:val="nil"/>
              <w:bottom w:val="nil"/>
              <w:right w:val="nil"/>
            </w:tcBorders>
          </w:tcPr>
          <w:p w14:paraId="09189121"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0.092</w:t>
            </w:r>
          </w:p>
        </w:tc>
        <w:tc>
          <w:tcPr>
            <w:tcW w:w="834" w:type="pct"/>
            <w:tcBorders>
              <w:top w:val="nil"/>
              <w:left w:val="nil"/>
              <w:bottom w:val="nil"/>
              <w:right w:val="nil"/>
            </w:tcBorders>
          </w:tcPr>
          <w:p w14:paraId="0E844F2C"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0.151</w:t>
            </w:r>
          </w:p>
        </w:tc>
        <w:tc>
          <w:tcPr>
            <w:tcW w:w="834" w:type="pct"/>
            <w:tcBorders>
              <w:top w:val="nil"/>
              <w:left w:val="nil"/>
              <w:bottom w:val="nil"/>
              <w:right w:val="nil"/>
            </w:tcBorders>
          </w:tcPr>
          <w:p w14:paraId="04DDF69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w:t>
            </w:r>
          </w:p>
        </w:tc>
        <w:tc>
          <w:tcPr>
            <w:tcW w:w="834" w:type="pct"/>
            <w:tcBorders>
              <w:top w:val="nil"/>
              <w:left w:val="nil"/>
              <w:bottom w:val="nil"/>
              <w:right w:val="nil"/>
            </w:tcBorders>
          </w:tcPr>
          <w:p w14:paraId="5249F41E"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0.5</w:t>
            </w:r>
          </w:p>
        </w:tc>
      </w:tr>
      <w:tr w:rsidR="0069729B" w:rsidRPr="00EB0F4E" w14:paraId="7E6B0947" w14:textId="77777777" w:rsidTr="0069729B">
        <w:trPr>
          <w:gridAfter w:val="1"/>
          <w:wAfter w:w="6" w:type="pct"/>
          <w:jc w:val="center"/>
        </w:trPr>
        <w:tc>
          <w:tcPr>
            <w:tcW w:w="1182" w:type="pct"/>
            <w:tcBorders>
              <w:top w:val="nil"/>
              <w:left w:val="nil"/>
              <w:bottom w:val="nil"/>
              <w:right w:val="nil"/>
            </w:tcBorders>
          </w:tcPr>
          <w:p w14:paraId="46447E9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 xml:space="preserve"> BLAU_AGE</w:t>
            </w:r>
          </w:p>
        </w:tc>
        <w:tc>
          <w:tcPr>
            <w:tcW w:w="476" w:type="pct"/>
            <w:tcBorders>
              <w:top w:val="nil"/>
              <w:left w:val="nil"/>
              <w:bottom w:val="nil"/>
              <w:right w:val="nil"/>
            </w:tcBorders>
          </w:tcPr>
          <w:p w14:paraId="4CBA315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210</w:t>
            </w:r>
          </w:p>
        </w:tc>
        <w:tc>
          <w:tcPr>
            <w:tcW w:w="834" w:type="pct"/>
            <w:tcBorders>
              <w:top w:val="nil"/>
              <w:left w:val="nil"/>
              <w:bottom w:val="nil"/>
              <w:right w:val="nil"/>
            </w:tcBorders>
          </w:tcPr>
          <w:p w14:paraId="1E049EF2"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0.216</w:t>
            </w:r>
          </w:p>
        </w:tc>
        <w:tc>
          <w:tcPr>
            <w:tcW w:w="834" w:type="pct"/>
            <w:tcBorders>
              <w:top w:val="nil"/>
              <w:left w:val="nil"/>
              <w:bottom w:val="nil"/>
              <w:right w:val="nil"/>
            </w:tcBorders>
          </w:tcPr>
          <w:p w14:paraId="32525B71"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0.168</w:t>
            </w:r>
          </w:p>
        </w:tc>
        <w:tc>
          <w:tcPr>
            <w:tcW w:w="834" w:type="pct"/>
            <w:tcBorders>
              <w:top w:val="nil"/>
              <w:left w:val="nil"/>
              <w:bottom w:val="nil"/>
              <w:right w:val="nil"/>
            </w:tcBorders>
          </w:tcPr>
          <w:p w14:paraId="1C8ADA5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w:t>
            </w:r>
          </w:p>
        </w:tc>
        <w:tc>
          <w:tcPr>
            <w:tcW w:w="834" w:type="pct"/>
            <w:tcBorders>
              <w:top w:val="nil"/>
              <w:left w:val="nil"/>
              <w:bottom w:val="nil"/>
              <w:right w:val="nil"/>
            </w:tcBorders>
          </w:tcPr>
          <w:p w14:paraId="15E7F33C"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0.75</w:t>
            </w:r>
          </w:p>
        </w:tc>
      </w:tr>
      <w:tr w:rsidR="0069729B" w:rsidRPr="00EB0F4E" w14:paraId="758DE52B" w14:textId="77777777" w:rsidTr="0069729B">
        <w:trPr>
          <w:gridAfter w:val="1"/>
          <w:wAfter w:w="6" w:type="pct"/>
          <w:jc w:val="center"/>
        </w:trPr>
        <w:tc>
          <w:tcPr>
            <w:tcW w:w="1182" w:type="pct"/>
            <w:tcBorders>
              <w:top w:val="nil"/>
              <w:left w:val="nil"/>
              <w:bottom w:val="nil"/>
              <w:right w:val="nil"/>
            </w:tcBorders>
          </w:tcPr>
          <w:p w14:paraId="6B4FE9BE"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 xml:space="preserve"> BLAU_EDU</w:t>
            </w:r>
          </w:p>
        </w:tc>
        <w:tc>
          <w:tcPr>
            <w:tcW w:w="476" w:type="pct"/>
            <w:tcBorders>
              <w:top w:val="nil"/>
              <w:left w:val="nil"/>
              <w:bottom w:val="nil"/>
              <w:right w:val="nil"/>
            </w:tcBorders>
          </w:tcPr>
          <w:p w14:paraId="73C70F16"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210</w:t>
            </w:r>
          </w:p>
        </w:tc>
        <w:tc>
          <w:tcPr>
            <w:tcW w:w="834" w:type="pct"/>
            <w:tcBorders>
              <w:top w:val="nil"/>
              <w:left w:val="nil"/>
              <w:bottom w:val="nil"/>
              <w:right w:val="nil"/>
            </w:tcBorders>
          </w:tcPr>
          <w:p w14:paraId="369AC2F1"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0.289</w:t>
            </w:r>
          </w:p>
        </w:tc>
        <w:tc>
          <w:tcPr>
            <w:tcW w:w="834" w:type="pct"/>
            <w:tcBorders>
              <w:top w:val="nil"/>
              <w:left w:val="nil"/>
              <w:bottom w:val="nil"/>
              <w:right w:val="nil"/>
            </w:tcBorders>
          </w:tcPr>
          <w:p w14:paraId="6A356C71"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0.206</w:t>
            </w:r>
          </w:p>
        </w:tc>
        <w:tc>
          <w:tcPr>
            <w:tcW w:w="834" w:type="pct"/>
            <w:tcBorders>
              <w:top w:val="nil"/>
              <w:left w:val="nil"/>
              <w:bottom w:val="nil"/>
              <w:right w:val="nil"/>
            </w:tcBorders>
          </w:tcPr>
          <w:p w14:paraId="1E8E238A"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w:t>
            </w:r>
          </w:p>
        </w:tc>
        <w:tc>
          <w:tcPr>
            <w:tcW w:w="834" w:type="pct"/>
            <w:tcBorders>
              <w:top w:val="nil"/>
              <w:left w:val="nil"/>
              <w:bottom w:val="nil"/>
              <w:right w:val="nil"/>
            </w:tcBorders>
          </w:tcPr>
          <w:p w14:paraId="4DF61B9B"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0.714</w:t>
            </w:r>
          </w:p>
        </w:tc>
      </w:tr>
      <w:tr w:rsidR="0069729B" w:rsidRPr="00EB0F4E" w14:paraId="23BA095B" w14:textId="77777777" w:rsidTr="0069729B">
        <w:trPr>
          <w:gridAfter w:val="1"/>
          <w:wAfter w:w="6" w:type="pct"/>
          <w:jc w:val="center"/>
        </w:trPr>
        <w:tc>
          <w:tcPr>
            <w:tcW w:w="1182" w:type="pct"/>
            <w:tcBorders>
              <w:top w:val="nil"/>
              <w:left w:val="nil"/>
              <w:bottom w:val="nil"/>
              <w:right w:val="nil"/>
            </w:tcBorders>
          </w:tcPr>
          <w:p w14:paraId="5F9D96FC"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 xml:space="preserve"> FOR</w:t>
            </w:r>
          </w:p>
        </w:tc>
        <w:tc>
          <w:tcPr>
            <w:tcW w:w="476" w:type="pct"/>
            <w:tcBorders>
              <w:top w:val="nil"/>
              <w:left w:val="nil"/>
              <w:bottom w:val="nil"/>
              <w:right w:val="nil"/>
            </w:tcBorders>
          </w:tcPr>
          <w:p w14:paraId="3BB61ED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210</w:t>
            </w:r>
          </w:p>
        </w:tc>
        <w:tc>
          <w:tcPr>
            <w:tcW w:w="834" w:type="pct"/>
            <w:tcBorders>
              <w:top w:val="nil"/>
              <w:left w:val="nil"/>
              <w:bottom w:val="nil"/>
              <w:right w:val="nil"/>
            </w:tcBorders>
          </w:tcPr>
          <w:p w14:paraId="54C9B0B0"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0.354</w:t>
            </w:r>
          </w:p>
        </w:tc>
        <w:tc>
          <w:tcPr>
            <w:tcW w:w="834" w:type="pct"/>
            <w:tcBorders>
              <w:top w:val="nil"/>
              <w:left w:val="nil"/>
              <w:bottom w:val="nil"/>
              <w:right w:val="nil"/>
            </w:tcBorders>
          </w:tcPr>
          <w:p w14:paraId="588C2B93"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0.334</w:t>
            </w:r>
          </w:p>
        </w:tc>
        <w:tc>
          <w:tcPr>
            <w:tcW w:w="834" w:type="pct"/>
            <w:tcBorders>
              <w:top w:val="nil"/>
              <w:left w:val="nil"/>
              <w:bottom w:val="nil"/>
              <w:right w:val="nil"/>
            </w:tcBorders>
          </w:tcPr>
          <w:p w14:paraId="147085D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w:t>
            </w:r>
          </w:p>
        </w:tc>
        <w:tc>
          <w:tcPr>
            <w:tcW w:w="834" w:type="pct"/>
            <w:tcBorders>
              <w:top w:val="nil"/>
              <w:left w:val="nil"/>
              <w:bottom w:val="nil"/>
              <w:right w:val="nil"/>
            </w:tcBorders>
          </w:tcPr>
          <w:p w14:paraId="3BCC327F"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0.99</w:t>
            </w:r>
          </w:p>
        </w:tc>
      </w:tr>
      <w:tr w:rsidR="0069729B" w:rsidRPr="00EB0F4E" w14:paraId="790CFACE" w14:textId="77777777" w:rsidTr="0069729B">
        <w:trPr>
          <w:gridAfter w:val="1"/>
          <w:wAfter w:w="6" w:type="pct"/>
          <w:jc w:val="center"/>
        </w:trPr>
        <w:tc>
          <w:tcPr>
            <w:tcW w:w="1182" w:type="pct"/>
            <w:tcBorders>
              <w:top w:val="nil"/>
              <w:left w:val="nil"/>
              <w:bottom w:val="nil"/>
              <w:right w:val="nil"/>
            </w:tcBorders>
          </w:tcPr>
          <w:p w14:paraId="3305AC0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 xml:space="preserve"> FAM</w:t>
            </w:r>
          </w:p>
        </w:tc>
        <w:tc>
          <w:tcPr>
            <w:tcW w:w="476" w:type="pct"/>
            <w:tcBorders>
              <w:top w:val="nil"/>
              <w:left w:val="nil"/>
              <w:bottom w:val="nil"/>
              <w:right w:val="nil"/>
            </w:tcBorders>
          </w:tcPr>
          <w:p w14:paraId="7BA50BF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210</w:t>
            </w:r>
          </w:p>
        </w:tc>
        <w:tc>
          <w:tcPr>
            <w:tcW w:w="834" w:type="pct"/>
            <w:tcBorders>
              <w:top w:val="nil"/>
              <w:left w:val="nil"/>
              <w:bottom w:val="nil"/>
              <w:right w:val="nil"/>
            </w:tcBorders>
          </w:tcPr>
          <w:p w14:paraId="05C9D064"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0.321</w:t>
            </w:r>
          </w:p>
        </w:tc>
        <w:tc>
          <w:tcPr>
            <w:tcW w:w="834" w:type="pct"/>
            <w:tcBorders>
              <w:top w:val="nil"/>
              <w:left w:val="nil"/>
              <w:bottom w:val="nil"/>
              <w:right w:val="nil"/>
            </w:tcBorders>
          </w:tcPr>
          <w:p w14:paraId="2A4C39F6"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0.31</w:t>
            </w:r>
          </w:p>
        </w:tc>
        <w:tc>
          <w:tcPr>
            <w:tcW w:w="834" w:type="pct"/>
            <w:tcBorders>
              <w:top w:val="nil"/>
              <w:left w:val="nil"/>
              <w:bottom w:val="nil"/>
              <w:right w:val="nil"/>
            </w:tcBorders>
          </w:tcPr>
          <w:p w14:paraId="49585D98"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w:t>
            </w:r>
          </w:p>
        </w:tc>
        <w:tc>
          <w:tcPr>
            <w:tcW w:w="834" w:type="pct"/>
            <w:tcBorders>
              <w:top w:val="nil"/>
              <w:left w:val="nil"/>
              <w:bottom w:val="nil"/>
              <w:right w:val="nil"/>
            </w:tcBorders>
          </w:tcPr>
          <w:p w14:paraId="5E0B782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0.909</w:t>
            </w:r>
          </w:p>
        </w:tc>
      </w:tr>
      <w:tr w:rsidR="0069729B" w:rsidRPr="00EB0F4E" w14:paraId="060F5302" w14:textId="77777777" w:rsidTr="0069729B">
        <w:trPr>
          <w:gridAfter w:val="1"/>
          <w:wAfter w:w="6" w:type="pct"/>
          <w:jc w:val="center"/>
        </w:trPr>
        <w:tc>
          <w:tcPr>
            <w:tcW w:w="1182" w:type="pct"/>
            <w:tcBorders>
              <w:top w:val="nil"/>
              <w:left w:val="nil"/>
              <w:bottom w:val="nil"/>
              <w:right w:val="nil"/>
            </w:tcBorders>
          </w:tcPr>
          <w:p w14:paraId="01FEA91A"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 xml:space="preserve"> GOV</w:t>
            </w:r>
          </w:p>
        </w:tc>
        <w:tc>
          <w:tcPr>
            <w:tcW w:w="476" w:type="pct"/>
            <w:tcBorders>
              <w:top w:val="nil"/>
              <w:left w:val="nil"/>
              <w:bottom w:val="nil"/>
              <w:right w:val="nil"/>
            </w:tcBorders>
          </w:tcPr>
          <w:p w14:paraId="21A9EC17"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210</w:t>
            </w:r>
          </w:p>
        </w:tc>
        <w:tc>
          <w:tcPr>
            <w:tcW w:w="834" w:type="pct"/>
            <w:tcBorders>
              <w:top w:val="nil"/>
              <w:left w:val="nil"/>
              <w:bottom w:val="nil"/>
              <w:right w:val="nil"/>
            </w:tcBorders>
          </w:tcPr>
          <w:p w14:paraId="0ED2F731"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0.121</w:t>
            </w:r>
          </w:p>
        </w:tc>
        <w:tc>
          <w:tcPr>
            <w:tcW w:w="834" w:type="pct"/>
            <w:tcBorders>
              <w:top w:val="nil"/>
              <w:left w:val="nil"/>
              <w:bottom w:val="nil"/>
              <w:right w:val="nil"/>
            </w:tcBorders>
          </w:tcPr>
          <w:p w14:paraId="4E61CC32"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0.255</w:t>
            </w:r>
          </w:p>
        </w:tc>
        <w:tc>
          <w:tcPr>
            <w:tcW w:w="834" w:type="pct"/>
            <w:tcBorders>
              <w:top w:val="nil"/>
              <w:left w:val="nil"/>
              <w:bottom w:val="nil"/>
              <w:right w:val="nil"/>
            </w:tcBorders>
          </w:tcPr>
          <w:p w14:paraId="18E37940"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w:t>
            </w:r>
          </w:p>
        </w:tc>
        <w:tc>
          <w:tcPr>
            <w:tcW w:w="834" w:type="pct"/>
            <w:tcBorders>
              <w:top w:val="nil"/>
              <w:left w:val="nil"/>
              <w:bottom w:val="nil"/>
              <w:right w:val="nil"/>
            </w:tcBorders>
          </w:tcPr>
          <w:p w14:paraId="69AF52FB"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0.8</w:t>
            </w:r>
          </w:p>
        </w:tc>
      </w:tr>
      <w:tr w:rsidR="0069729B" w:rsidRPr="00EB0F4E" w14:paraId="65F37A71" w14:textId="77777777" w:rsidTr="0069729B">
        <w:trPr>
          <w:gridAfter w:val="1"/>
          <w:wAfter w:w="6" w:type="pct"/>
          <w:jc w:val="center"/>
        </w:trPr>
        <w:tc>
          <w:tcPr>
            <w:tcW w:w="1182" w:type="pct"/>
            <w:tcBorders>
              <w:top w:val="nil"/>
              <w:left w:val="nil"/>
              <w:bottom w:val="nil"/>
              <w:right w:val="nil"/>
            </w:tcBorders>
          </w:tcPr>
          <w:p w14:paraId="14F035D1"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 xml:space="preserve"> BOARDSIZE</w:t>
            </w:r>
          </w:p>
        </w:tc>
        <w:tc>
          <w:tcPr>
            <w:tcW w:w="476" w:type="pct"/>
            <w:tcBorders>
              <w:top w:val="nil"/>
              <w:left w:val="nil"/>
              <w:bottom w:val="nil"/>
              <w:right w:val="nil"/>
            </w:tcBorders>
          </w:tcPr>
          <w:p w14:paraId="5E4D4E58"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211</w:t>
            </w:r>
          </w:p>
        </w:tc>
        <w:tc>
          <w:tcPr>
            <w:tcW w:w="834" w:type="pct"/>
            <w:tcBorders>
              <w:top w:val="nil"/>
              <w:left w:val="nil"/>
              <w:bottom w:val="nil"/>
              <w:right w:val="nil"/>
            </w:tcBorders>
          </w:tcPr>
          <w:p w14:paraId="56C36161"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6.393</w:t>
            </w:r>
          </w:p>
        </w:tc>
        <w:tc>
          <w:tcPr>
            <w:tcW w:w="834" w:type="pct"/>
            <w:tcBorders>
              <w:top w:val="nil"/>
              <w:left w:val="nil"/>
              <w:bottom w:val="nil"/>
              <w:right w:val="nil"/>
            </w:tcBorders>
          </w:tcPr>
          <w:p w14:paraId="207BB728"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2.633</w:t>
            </w:r>
          </w:p>
        </w:tc>
        <w:tc>
          <w:tcPr>
            <w:tcW w:w="834" w:type="pct"/>
            <w:tcBorders>
              <w:top w:val="nil"/>
              <w:left w:val="nil"/>
              <w:bottom w:val="nil"/>
              <w:right w:val="nil"/>
            </w:tcBorders>
          </w:tcPr>
          <w:p w14:paraId="452E491B"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3</w:t>
            </w:r>
          </w:p>
        </w:tc>
        <w:tc>
          <w:tcPr>
            <w:tcW w:w="834" w:type="pct"/>
            <w:tcBorders>
              <w:top w:val="nil"/>
              <w:left w:val="nil"/>
              <w:bottom w:val="nil"/>
              <w:right w:val="nil"/>
            </w:tcBorders>
          </w:tcPr>
          <w:p w14:paraId="1BB766E7"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12</w:t>
            </w:r>
          </w:p>
        </w:tc>
      </w:tr>
      <w:tr w:rsidR="0069729B" w:rsidRPr="00EB0F4E" w14:paraId="09F204EF" w14:textId="77777777" w:rsidTr="0069729B">
        <w:trPr>
          <w:gridAfter w:val="1"/>
          <w:wAfter w:w="6" w:type="pct"/>
          <w:jc w:val="center"/>
        </w:trPr>
        <w:tc>
          <w:tcPr>
            <w:tcW w:w="1182" w:type="pct"/>
            <w:tcBorders>
              <w:top w:val="nil"/>
              <w:left w:val="nil"/>
              <w:bottom w:val="nil"/>
              <w:right w:val="nil"/>
            </w:tcBorders>
          </w:tcPr>
          <w:p w14:paraId="48AD28A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 xml:space="preserve"> ROA</w:t>
            </w:r>
          </w:p>
        </w:tc>
        <w:tc>
          <w:tcPr>
            <w:tcW w:w="476" w:type="pct"/>
            <w:tcBorders>
              <w:top w:val="nil"/>
              <w:left w:val="nil"/>
              <w:bottom w:val="nil"/>
              <w:right w:val="nil"/>
            </w:tcBorders>
          </w:tcPr>
          <w:p w14:paraId="35FE56B4"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210</w:t>
            </w:r>
          </w:p>
        </w:tc>
        <w:tc>
          <w:tcPr>
            <w:tcW w:w="834" w:type="pct"/>
            <w:tcBorders>
              <w:top w:val="nil"/>
              <w:left w:val="nil"/>
              <w:bottom w:val="nil"/>
              <w:right w:val="nil"/>
            </w:tcBorders>
          </w:tcPr>
          <w:p w14:paraId="795119C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0.009</w:t>
            </w:r>
          </w:p>
        </w:tc>
        <w:tc>
          <w:tcPr>
            <w:tcW w:w="834" w:type="pct"/>
            <w:tcBorders>
              <w:top w:val="nil"/>
              <w:left w:val="nil"/>
              <w:bottom w:val="nil"/>
              <w:right w:val="nil"/>
            </w:tcBorders>
          </w:tcPr>
          <w:p w14:paraId="3756875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0.023</w:t>
            </w:r>
          </w:p>
        </w:tc>
        <w:tc>
          <w:tcPr>
            <w:tcW w:w="834" w:type="pct"/>
            <w:tcBorders>
              <w:top w:val="nil"/>
              <w:left w:val="nil"/>
              <w:bottom w:val="nil"/>
              <w:right w:val="nil"/>
            </w:tcBorders>
          </w:tcPr>
          <w:p w14:paraId="0D93CAB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-0.112</w:t>
            </w:r>
          </w:p>
        </w:tc>
        <w:tc>
          <w:tcPr>
            <w:tcW w:w="834" w:type="pct"/>
            <w:tcBorders>
              <w:top w:val="nil"/>
              <w:left w:val="nil"/>
              <w:bottom w:val="nil"/>
              <w:right w:val="nil"/>
            </w:tcBorders>
          </w:tcPr>
          <w:p w14:paraId="79D560D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0.108</w:t>
            </w:r>
          </w:p>
        </w:tc>
      </w:tr>
      <w:tr w:rsidR="0069729B" w:rsidRPr="00EB0F4E" w14:paraId="4E2B7833" w14:textId="77777777" w:rsidTr="0069729B">
        <w:trPr>
          <w:gridAfter w:val="1"/>
          <w:wAfter w:w="6" w:type="pct"/>
          <w:jc w:val="center"/>
        </w:trPr>
        <w:tc>
          <w:tcPr>
            <w:tcW w:w="1182" w:type="pct"/>
            <w:tcBorders>
              <w:top w:val="nil"/>
              <w:left w:val="nil"/>
              <w:bottom w:val="nil"/>
              <w:right w:val="nil"/>
            </w:tcBorders>
          </w:tcPr>
          <w:p w14:paraId="24B4080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 xml:space="preserve"> SIZE</w:t>
            </w:r>
          </w:p>
        </w:tc>
        <w:tc>
          <w:tcPr>
            <w:tcW w:w="476" w:type="pct"/>
            <w:tcBorders>
              <w:top w:val="nil"/>
              <w:left w:val="nil"/>
              <w:bottom w:val="nil"/>
              <w:right w:val="nil"/>
            </w:tcBorders>
          </w:tcPr>
          <w:p w14:paraId="29A5187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210</w:t>
            </w:r>
          </w:p>
        </w:tc>
        <w:tc>
          <w:tcPr>
            <w:tcW w:w="834" w:type="pct"/>
            <w:tcBorders>
              <w:top w:val="nil"/>
              <w:left w:val="nil"/>
              <w:bottom w:val="nil"/>
              <w:right w:val="nil"/>
            </w:tcBorders>
          </w:tcPr>
          <w:p w14:paraId="3DA9375F"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13.447</w:t>
            </w:r>
          </w:p>
        </w:tc>
        <w:tc>
          <w:tcPr>
            <w:tcW w:w="834" w:type="pct"/>
            <w:tcBorders>
              <w:top w:val="nil"/>
              <w:left w:val="nil"/>
              <w:bottom w:val="nil"/>
              <w:right w:val="nil"/>
            </w:tcBorders>
          </w:tcPr>
          <w:p w14:paraId="1FBE07B0"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0.792</w:t>
            </w:r>
          </w:p>
        </w:tc>
        <w:tc>
          <w:tcPr>
            <w:tcW w:w="834" w:type="pct"/>
            <w:tcBorders>
              <w:top w:val="nil"/>
              <w:left w:val="nil"/>
              <w:bottom w:val="nil"/>
              <w:right w:val="nil"/>
            </w:tcBorders>
          </w:tcPr>
          <w:p w14:paraId="5839AC0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11.823</w:t>
            </w:r>
          </w:p>
        </w:tc>
        <w:tc>
          <w:tcPr>
            <w:tcW w:w="834" w:type="pct"/>
            <w:tcBorders>
              <w:top w:val="nil"/>
              <w:left w:val="nil"/>
              <w:bottom w:val="nil"/>
              <w:right w:val="nil"/>
            </w:tcBorders>
          </w:tcPr>
          <w:p w14:paraId="378A42A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15.113</w:t>
            </w:r>
          </w:p>
        </w:tc>
      </w:tr>
      <w:tr w:rsidR="0069729B" w:rsidRPr="00EB0F4E" w14:paraId="7EB46664" w14:textId="77777777" w:rsidTr="0069729B">
        <w:trPr>
          <w:jc w:val="center"/>
        </w:trPr>
        <w:tc>
          <w:tcPr>
            <w:tcW w:w="5000" w:type="pct"/>
            <w:gridSpan w:val="7"/>
            <w:tcBorders>
              <w:top w:val="nil"/>
              <w:left w:val="nil"/>
              <w:bottom w:val="single" w:sz="6" w:space="0" w:color="auto"/>
              <w:right w:val="nil"/>
            </w:tcBorders>
          </w:tcPr>
          <w:p w14:paraId="74AF2892"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p>
        </w:tc>
      </w:tr>
    </w:tbl>
    <w:p w14:paraId="69C9062F" w14:textId="77777777" w:rsidR="0069729B" w:rsidRPr="00EB0F4E" w:rsidRDefault="0069729B" w:rsidP="0069729B">
      <w:pPr>
        <w:widowControl w:val="0"/>
        <w:autoSpaceDE w:val="0"/>
        <w:autoSpaceDN w:val="0"/>
        <w:adjustRightInd w:val="0"/>
        <w:spacing w:after="0" w:line="240" w:lineRule="auto"/>
        <w:jc w:val="both"/>
        <w:rPr>
          <w:rFonts w:ascii="Calibri" w:hAnsi="Calibri" w:cs="Calibri"/>
          <w:b/>
          <w:bCs/>
          <w:sz w:val="24"/>
          <w:szCs w:val="24"/>
        </w:rPr>
      </w:pPr>
    </w:p>
    <w:p w14:paraId="5FFF1CA7" w14:textId="77777777" w:rsidR="0069729B" w:rsidRPr="00EB0F4E" w:rsidRDefault="0069729B" w:rsidP="0069729B">
      <w:pPr>
        <w:widowControl w:val="0"/>
        <w:tabs>
          <w:tab w:val="left" w:pos="567"/>
        </w:tabs>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ab/>
        <w:t xml:space="preserve">We further check the correlation among research variables and find no multicollinearity issues among the independent variables with the following result. </w:t>
      </w:r>
    </w:p>
    <w:p w14:paraId="58FB1BDE" w14:textId="46BE3E02" w:rsidR="0069729B" w:rsidRDefault="0069729B" w:rsidP="0069729B">
      <w:pPr>
        <w:widowControl w:val="0"/>
        <w:autoSpaceDE w:val="0"/>
        <w:autoSpaceDN w:val="0"/>
        <w:adjustRightInd w:val="0"/>
        <w:spacing w:after="0" w:line="240" w:lineRule="auto"/>
        <w:jc w:val="both"/>
        <w:rPr>
          <w:rFonts w:ascii="Calibri" w:hAnsi="Calibri" w:cs="Calibri"/>
          <w:b/>
          <w:bCs/>
          <w:sz w:val="24"/>
          <w:szCs w:val="24"/>
        </w:rPr>
      </w:pPr>
    </w:p>
    <w:p w14:paraId="5320944A" w14:textId="77777777" w:rsidR="0069729B" w:rsidRPr="00EB0F4E" w:rsidRDefault="0069729B" w:rsidP="0069729B">
      <w:pPr>
        <w:widowControl w:val="0"/>
        <w:autoSpaceDE w:val="0"/>
        <w:autoSpaceDN w:val="0"/>
        <w:adjustRightInd w:val="0"/>
        <w:spacing w:after="0" w:line="240" w:lineRule="auto"/>
        <w:jc w:val="both"/>
        <w:rPr>
          <w:rFonts w:ascii="Calibri" w:hAnsi="Calibri" w:cs="Calibri"/>
          <w:b/>
          <w:bCs/>
          <w:sz w:val="24"/>
          <w:szCs w:val="24"/>
        </w:rPr>
      </w:pPr>
    </w:p>
    <w:p w14:paraId="104BB0FB" w14:textId="77777777" w:rsidR="0069729B" w:rsidRDefault="0069729B" w:rsidP="0069729B">
      <w:pPr>
        <w:widowControl w:val="0"/>
        <w:autoSpaceDE w:val="0"/>
        <w:autoSpaceDN w:val="0"/>
        <w:adjustRightInd w:val="0"/>
        <w:spacing w:after="0" w:line="240" w:lineRule="auto"/>
        <w:jc w:val="both"/>
        <w:rPr>
          <w:rFonts w:ascii="Calibri" w:hAnsi="Calibri" w:cs="Calibri"/>
          <w:sz w:val="24"/>
          <w:szCs w:val="24"/>
        </w:rPr>
      </w:pPr>
      <w:r w:rsidRPr="0069729B">
        <w:rPr>
          <w:rFonts w:ascii="Calibri" w:hAnsi="Calibri" w:cs="Calibri"/>
          <w:sz w:val="24"/>
          <w:szCs w:val="24"/>
        </w:rPr>
        <w:lastRenderedPageBreak/>
        <w:t>Table 3</w:t>
      </w:r>
    </w:p>
    <w:p w14:paraId="3468EE63" w14:textId="42D14CDF" w:rsidR="0069729B" w:rsidRPr="0069729B" w:rsidRDefault="0069729B" w:rsidP="0069729B">
      <w:pPr>
        <w:widowControl w:val="0"/>
        <w:autoSpaceDE w:val="0"/>
        <w:autoSpaceDN w:val="0"/>
        <w:adjustRightInd w:val="0"/>
        <w:spacing w:after="0" w:line="240" w:lineRule="auto"/>
        <w:jc w:val="both"/>
        <w:rPr>
          <w:rFonts w:ascii="Calibri" w:hAnsi="Calibri" w:cs="Calibri"/>
          <w:i/>
          <w:iCs/>
          <w:sz w:val="24"/>
          <w:szCs w:val="24"/>
        </w:rPr>
      </w:pPr>
      <w:r w:rsidRPr="0069729B">
        <w:rPr>
          <w:rFonts w:ascii="Calibri" w:hAnsi="Calibri" w:cs="Calibri"/>
          <w:i/>
          <w:iCs/>
          <w:sz w:val="24"/>
          <w:szCs w:val="24"/>
        </w:rPr>
        <w:t>Matrix of correlations</w:t>
      </w:r>
    </w:p>
    <w:tbl>
      <w:tblPr>
        <w:tblW w:w="5000" w:type="pct"/>
        <w:jc w:val="center"/>
        <w:tblLook w:val="0000" w:firstRow="0" w:lastRow="0" w:firstColumn="0" w:lastColumn="0" w:noHBand="0" w:noVBand="0"/>
      </w:tblPr>
      <w:tblGrid>
        <w:gridCol w:w="1615"/>
        <w:gridCol w:w="719"/>
        <w:gridCol w:w="661"/>
        <w:gridCol w:w="718"/>
        <w:gridCol w:w="661"/>
        <w:gridCol w:w="572"/>
        <w:gridCol w:w="661"/>
        <w:gridCol w:w="718"/>
        <w:gridCol w:w="718"/>
        <w:gridCol w:w="661"/>
        <w:gridCol w:w="661"/>
        <w:gridCol w:w="661"/>
      </w:tblGrid>
      <w:tr w:rsidR="0069729B" w:rsidRPr="0069729B" w14:paraId="6A1959C0" w14:textId="77777777" w:rsidTr="0069729B">
        <w:trPr>
          <w:jc w:val="center"/>
        </w:trPr>
        <w:tc>
          <w:tcPr>
            <w:tcW w:w="910" w:type="pct"/>
            <w:tcBorders>
              <w:top w:val="single" w:sz="4" w:space="0" w:color="auto"/>
              <w:left w:val="nil"/>
              <w:bottom w:val="single" w:sz="10" w:space="0" w:color="auto"/>
              <w:right w:val="nil"/>
            </w:tcBorders>
          </w:tcPr>
          <w:p w14:paraId="388E2488" w14:textId="77777777" w:rsidR="0069729B" w:rsidRPr="0069729B" w:rsidRDefault="0069729B" w:rsidP="00F0140C">
            <w:pPr>
              <w:widowControl w:val="0"/>
              <w:autoSpaceDE w:val="0"/>
              <w:autoSpaceDN w:val="0"/>
              <w:adjustRightInd w:val="0"/>
              <w:spacing w:after="0" w:line="240" w:lineRule="auto"/>
              <w:ind w:left="-104"/>
              <w:jc w:val="both"/>
              <w:rPr>
                <w:rFonts w:ascii="Calibri" w:hAnsi="Calibri" w:cs="Calibri"/>
              </w:rPr>
            </w:pPr>
            <w:r w:rsidRPr="0069729B">
              <w:rPr>
                <w:rFonts w:ascii="Calibri" w:hAnsi="Calibri" w:cs="Calibri"/>
              </w:rPr>
              <w:t xml:space="preserve">  Variables</w:t>
            </w:r>
          </w:p>
        </w:tc>
        <w:tc>
          <w:tcPr>
            <w:tcW w:w="414" w:type="pct"/>
            <w:tcBorders>
              <w:top w:val="single" w:sz="4" w:space="0" w:color="auto"/>
              <w:left w:val="nil"/>
              <w:bottom w:val="single" w:sz="10" w:space="0" w:color="auto"/>
              <w:right w:val="nil"/>
            </w:tcBorders>
          </w:tcPr>
          <w:p w14:paraId="401C43B5"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 xml:space="preserve">  (1)</w:t>
            </w:r>
          </w:p>
        </w:tc>
        <w:tc>
          <w:tcPr>
            <w:tcW w:w="350" w:type="pct"/>
            <w:tcBorders>
              <w:top w:val="single" w:sz="4" w:space="0" w:color="auto"/>
              <w:left w:val="nil"/>
              <w:bottom w:val="single" w:sz="10" w:space="0" w:color="auto"/>
              <w:right w:val="nil"/>
            </w:tcBorders>
          </w:tcPr>
          <w:p w14:paraId="175E497A"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 xml:space="preserve">  (2)</w:t>
            </w:r>
          </w:p>
        </w:tc>
        <w:tc>
          <w:tcPr>
            <w:tcW w:w="413" w:type="pct"/>
            <w:tcBorders>
              <w:top w:val="single" w:sz="4" w:space="0" w:color="auto"/>
              <w:left w:val="nil"/>
              <w:bottom w:val="single" w:sz="10" w:space="0" w:color="auto"/>
              <w:right w:val="nil"/>
            </w:tcBorders>
          </w:tcPr>
          <w:p w14:paraId="1735952E"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 xml:space="preserve">  (3)</w:t>
            </w:r>
          </w:p>
        </w:tc>
        <w:tc>
          <w:tcPr>
            <w:tcW w:w="352" w:type="pct"/>
            <w:tcBorders>
              <w:top w:val="single" w:sz="4" w:space="0" w:color="auto"/>
              <w:left w:val="nil"/>
              <w:bottom w:val="single" w:sz="10" w:space="0" w:color="auto"/>
              <w:right w:val="nil"/>
            </w:tcBorders>
          </w:tcPr>
          <w:p w14:paraId="7DA8C09A"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 xml:space="preserve">  (4)</w:t>
            </w:r>
          </w:p>
        </w:tc>
        <w:tc>
          <w:tcPr>
            <w:tcW w:w="331" w:type="pct"/>
            <w:tcBorders>
              <w:top w:val="single" w:sz="4" w:space="0" w:color="auto"/>
              <w:left w:val="nil"/>
              <w:bottom w:val="single" w:sz="10" w:space="0" w:color="auto"/>
              <w:right w:val="nil"/>
            </w:tcBorders>
          </w:tcPr>
          <w:p w14:paraId="4DF1CB4E"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 xml:space="preserve">  (5)</w:t>
            </w:r>
          </w:p>
        </w:tc>
        <w:tc>
          <w:tcPr>
            <w:tcW w:w="372" w:type="pct"/>
            <w:tcBorders>
              <w:top w:val="single" w:sz="4" w:space="0" w:color="auto"/>
              <w:left w:val="nil"/>
              <w:bottom w:val="single" w:sz="10" w:space="0" w:color="auto"/>
              <w:right w:val="nil"/>
            </w:tcBorders>
          </w:tcPr>
          <w:p w14:paraId="501156D0"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 xml:space="preserve">  (6)</w:t>
            </w:r>
          </w:p>
        </w:tc>
        <w:tc>
          <w:tcPr>
            <w:tcW w:w="413" w:type="pct"/>
            <w:tcBorders>
              <w:top w:val="single" w:sz="4" w:space="0" w:color="auto"/>
              <w:left w:val="nil"/>
              <w:bottom w:val="single" w:sz="10" w:space="0" w:color="auto"/>
              <w:right w:val="nil"/>
            </w:tcBorders>
          </w:tcPr>
          <w:p w14:paraId="443C3D7B"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 xml:space="preserve">  (7)</w:t>
            </w:r>
          </w:p>
        </w:tc>
        <w:tc>
          <w:tcPr>
            <w:tcW w:w="414" w:type="pct"/>
            <w:tcBorders>
              <w:top w:val="single" w:sz="4" w:space="0" w:color="auto"/>
              <w:left w:val="nil"/>
              <w:bottom w:val="single" w:sz="10" w:space="0" w:color="auto"/>
              <w:right w:val="nil"/>
            </w:tcBorders>
          </w:tcPr>
          <w:p w14:paraId="560F824E"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 xml:space="preserve">  (8)</w:t>
            </w:r>
          </w:p>
        </w:tc>
        <w:tc>
          <w:tcPr>
            <w:tcW w:w="348" w:type="pct"/>
            <w:tcBorders>
              <w:top w:val="single" w:sz="4" w:space="0" w:color="auto"/>
              <w:left w:val="nil"/>
              <w:bottom w:val="single" w:sz="10" w:space="0" w:color="auto"/>
              <w:right w:val="nil"/>
            </w:tcBorders>
          </w:tcPr>
          <w:p w14:paraId="2C06D662"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 xml:space="preserve">  (9)</w:t>
            </w:r>
          </w:p>
        </w:tc>
        <w:tc>
          <w:tcPr>
            <w:tcW w:w="334" w:type="pct"/>
            <w:tcBorders>
              <w:top w:val="single" w:sz="4" w:space="0" w:color="auto"/>
              <w:left w:val="nil"/>
              <w:bottom w:val="single" w:sz="10" w:space="0" w:color="auto"/>
              <w:right w:val="nil"/>
            </w:tcBorders>
          </w:tcPr>
          <w:p w14:paraId="1D5B4499"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 xml:space="preserve"> (10)</w:t>
            </w:r>
          </w:p>
        </w:tc>
        <w:tc>
          <w:tcPr>
            <w:tcW w:w="349" w:type="pct"/>
            <w:tcBorders>
              <w:top w:val="single" w:sz="4" w:space="0" w:color="auto"/>
              <w:left w:val="nil"/>
              <w:bottom w:val="single" w:sz="10" w:space="0" w:color="auto"/>
              <w:right w:val="nil"/>
            </w:tcBorders>
          </w:tcPr>
          <w:p w14:paraId="516350A3"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 xml:space="preserve"> (11)</w:t>
            </w:r>
          </w:p>
        </w:tc>
      </w:tr>
      <w:tr w:rsidR="0069729B" w:rsidRPr="0069729B" w14:paraId="13F4262D" w14:textId="77777777" w:rsidTr="0069729B">
        <w:trPr>
          <w:gridAfter w:val="10"/>
          <w:wAfter w:w="3676" w:type="pct"/>
          <w:jc w:val="center"/>
        </w:trPr>
        <w:tc>
          <w:tcPr>
            <w:tcW w:w="910" w:type="pct"/>
            <w:tcBorders>
              <w:top w:val="nil"/>
              <w:left w:val="nil"/>
              <w:bottom w:val="nil"/>
              <w:right w:val="nil"/>
            </w:tcBorders>
          </w:tcPr>
          <w:p w14:paraId="6995011A" w14:textId="77777777" w:rsidR="0069729B" w:rsidRPr="0069729B" w:rsidRDefault="0069729B" w:rsidP="00F0140C">
            <w:pPr>
              <w:widowControl w:val="0"/>
              <w:autoSpaceDE w:val="0"/>
              <w:autoSpaceDN w:val="0"/>
              <w:adjustRightInd w:val="0"/>
              <w:spacing w:after="0" w:line="240" w:lineRule="auto"/>
              <w:ind w:left="-104"/>
              <w:jc w:val="both"/>
              <w:rPr>
                <w:rFonts w:ascii="Calibri" w:hAnsi="Calibri" w:cs="Calibri"/>
              </w:rPr>
            </w:pPr>
            <w:r w:rsidRPr="0069729B">
              <w:rPr>
                <w:rFonts w:ascii="Calibri" w:hAnsi="Calibri" w:cs="Calibri"/>
              </w:rPr>
              <w:t>(1) GRI</w:t>
            </w:r>
          </w:p>
        </w:tc>
        <w:tc>
          <w:tcPr>
            <w:tcW w:w="414" w:type="pct"/>
            <w:tcBorders>
              <w:top w:val="nil"/>
              <w:left w:val="nil"/>
              <w:bottom w:val="nil"/>
              <w:right w:val="nil"/>
            </w:tcBorders>
          </w:tcPr>
          <w:p w14:paraId="145820EF"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1.000</w:t>
            </w:r>
          </w:p>
        </w:tc>
      </w:tr>
      <w:tr w:rsidR="0069729B" w:rsidRPr="0069729B" w14:paraId="3315F4C9" w14:textId="77777777" w:rsidTr="0069729B">
        <w:trPr>
          <w:gridAfter w:val="9"/>
          <w:wAfter w:w="3326" w:type="pct"/>
          <w:jc w:val="center"/>
        </w:trPr>
        <w:tc>
          <w:tcPr>
            <w:tcW w:w="910" w:type="pct"/>
            <w:tcBorders>
              <w:top w:val="nil"/>
              <w:left w:val="nil"/>
              <w:bottom w:val="nil"/>
              <w:right w:val="nil"/>
            </w:tcBorders>
          </w:tcPr>
          <w:p w14:paraId="18694C6A" w14:textId="77777777" w:rsidR="0069729B" w:rsidRPr="0069729B" w:rsidRDefault="0069729B" w:rsidP="00F0140C">
            <w:pPr>
              <w:widowControl w:val="0"/>
              <w:autoSpaceDE w:val="0"/>
              <w:autoSpaceDN w:val="0"/>
              <w:adjustRightInd w:val="0"/>
              <w:spacing w:after="0" w:line="240" w:lineRule="auto"/>
              <w:ind w:left="-104" w:right="-250"/>
              <w:jc w:val="both"/>
              <w:rPr>
                <w:rFonts w:ascii="Calibri" w:hAnsi="Calibri" w:cs="Calibri"/>
              </w:rPr>
            </w:pPr>
            <w:r w:rsidRPr="0069729B">
              <w:rPr>
                <w:rFonts w:ascii="Calibri" w:hAnsi="Calibri" w:cs="Calibri"/>
              </w:rPr>
              <w:t>(2) BLAU_GENDER</w:t>
            </w:r>
          </w:p>
        </w:tc>
        <w:tc>
          <w:tcPr>
            <w:tcW w:w="414" w:type="pct"/>
            <w:tcBorders>
              <w:top w:val="nil"/>
              <w:left w:val="nil"/>
              <w:bottom w:val="nil"/>
              <w:right w:val="nil"/>
            </w:tcBorders>
          </w:tcPr>
          <w:p w14:paraId="1AA53D9A"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0.368</w:t>
            </w:r>
          </w:p>
        </w:tc>
        <w:tc>
          <w:tcPr>
            <w:tcW w:w="350" w:type="pct"/>
            <w:tcBorders>
              <w:top w:val="nil"/>
              <w:left w:val="nil"/>
              <w:bottom w:val="nil"/>
              <w:right w:val="nil"/>
            </w:tcBorders>
          </w:tcPr>
          <w:p w14:paraId="5038EE2C" w14:textId="77777777" w:rsidR="0069729B" w:rsidRPr="0069729B" w:rsidRDefault="0069729B" w:rsidP="00F0140C">
            <w:pPr>
              <w:widowControl w:val="0"/>
              <w:autoSpaceDE w:val="0"/>
              <w:autoSpaceDN w:val="0"/>
              <w:adjustRightInd w:val="0"/>
              <w:spacing w:after="0" w:line="240" w:lineRule="auto"/>
              <w:ind w:left="-57" w:right="-57"/>
              <w:jc w:val="both"/>
              <w:rPr>
                <w:rFonts w:ascii="Calibri" w:hAnsi="Calibri" w:cs="Calibri"/>
              </w:rPr>
            </w:pPr>
            <w:r w:rsidRPr="0069729B">
              <w:rPr>
                <w:rFonts w:ascii="Calibri" w:hAnsi="Calibri" w:cs="Calibri"/>
              </w:rPr>
              <w:t>1.000</w:t>
            </w:r>
          </w:p>
        </w:tc>
      </w:tr>
      <w:tr w:rsidR="0069729B" w:rsidRPr="0069729B" w14:paraId="2CF491F1" w14:textId="77777777" w:rsidTr="0069729B">
        <w:trPr>
          <w:gridAfter w:val="8"/>
          <w:wAfter w:w="2913" w:type="pct"/>
          <w:jc w:val="center"/>
        </w:trPr>
        <w:tc>
          <w:tcPr>
            <w:tcW w:w="910" w:type="pct"/>
            <w:tcBorders>
              <w:top w:val="nil"/>
              <w:left w:val="nil"/>
              <w:bottom w:val="nil"/>
              <w:right w:val="nil"/>
            </w:tcBorders>
          </w:tcPr>
          <w:p w14:paraId="6C5CA4F3" w14:textId="77777777" w:rsidR="0069729B" w:rsidRPr="0069729B" w:rsidRDefault="0069729B" w:rsidP="00F0140C">
            <w:pPr>
              <w:widowControl w:val="0"/>
              <w:autoSpaceDE w:val="0"/>
              <w:autoSpaceDN w:val="0"/>
              <w:adjustRightInd w:val="0"/>
              <w:spacing w:after="0" w:line="240" w:lineRule="auto"/>
              <w:ind w:left="-104"/>
              <w:jc w:val="both"/>
              <w:rPr>
                <w:rFonts w:ascii="Calibri" w:hAnsi="Calibri" w:cs="Calibri"/>
              </w:rPr>
            </w:pPr>
            <w:r w:rsidRPr="0069729B">
              <w:rPr>
                <w:rFonts w:ascii="Calibri" w:hAnsi="Calibri" w:cs="Calibri"/>
              </w:rPr>
              <w:t>(3) BLAU_NAT</w:t>
            </w:r>
          </w:p>
        </w:tc>
        <w:tc>
          <w:tcPr>
            <w:tcW w:w="414" w:type="pct"/>
            <w:tcBorders>
              <w:top w:val="nil"/>
              <w:left w:val="nil"/>
              <w:bottom w:val="nil"/>
              <w:right w:val="nil"/>
            </w:tcBorders>
          </w:tcPr>
          <w:p w14:paraId="3930E7A1"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0.027</w:t>
            </w:r>
          </w:p>
        </w:tc>
        <w:tc>
          <w:tcPr>
            <w:tcW w:w="350" w:type="pct"/>
            <w:tcBorders>
              <w:top w:val="nil"/>
              <w:left w:val="nil"/>
              <w:bottom w:val="nil"/>
              <w:right w:val="nil"/>
            </w:tcBorders>
          </w:tcPr>
          <w:p w14:paraId="2432CDF4" w14:textId="77777777" w:rsidR="0069729B" w:rsidRPr="0069729B" w:rsidRDefault="0069729B" w:rsidP="00F0140C">
            <w:pPr>
              <w:widowControl w:val="0"/>
              <w:autoSpaceDE w:val="0"/>
              <w:autoSpaceDN w:val="0"/>
              <w:adjustRightInd w:val="0"/>
              <w:spacing w:after="0" w:line="240" w:lineRule="auto"/>
              <w:ind w:left="-57" w:right="-57"/>
              <w:jc w:val="both"/>
              <w:rPr>
                <w:rFonts w:ascii="Calibri" w:hAnsi="Calibri" w:cs="Calibri"/>
              </w:rPr>
            </w:pPr>
            <w:r w:rsidRPr="0069729B">
              <w:rPr>
                <w:rFonts w:ascii="Calibri" w:hAnsi="Calibri" w:cs="Calibri"/>
              </w:rPr>
              <w:t>0.147</w:t>
            </w:r>
          </w:p>
        </w:tc>
        <w:tc>
          <w:tcPr>
            <w:tcW w:w="413" w:type="pct"/>
            <w:tcBorders>
              <w:top w:val="nil"/>
              <w:left w:val="nil"/>
              <w:bottom w:val="nil"/>
              <w:right w:val="nil"/>
            </w:tcBorders>
          </w:tcPr>
          <w:p w14:paraId="4C13C189"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1.000</w:t>
            </w:r>
          </w:p>
        </w:tc>
      </w:tr>
      <w:tr w:rsidR="0069729B" w:rsidRPr="0069729B" w14:paraId="5887CD54" w14:textId="77777777" w:rsidTr="0069729B">
        <w:trPr>
          <w:gridAfter w:val="7"/>
          <w:wAfter w:w="2561" w:type="pct"/>
          <w:jc w:val="center"/>
        </w:trPr>
        <w:tc>
          <w:tcPr>
            <w:tcW w:w="910" w:type="pct"/>
            <w:tcBorders>
              <w:top w:val="nil"/>
              <w:left w:val="nil"/>
              <w:bottom w:val="nil"/>
              <w:right w:val="nil"/>
            </w:tcBorders>
          </w:tcPr>
          <w:p w14:paraId="3D8F96FA" w14:textId="77777777" w:rsidR="0069729B" w:rsidRPr="0069729B" w:rsidRDefault="0069729B" w:rsidP="00F0140C">
            <w:pPr>
              <w:widowControl w:val="0"/>
              <w:autoSpaceDE w:val="0"/>
              <w:autoSpaceDN w:val="0"/>
              <w:adjustRightInd w:val="0"/>
              <w:spacing w:after="0" w:line="240" w:lineRule="auto"/>
              <w:ind w:left="-104"/>
              <w:jc w:val="both"/>
              <w:rPr>
                <w:rFonts w:ascii="Calibri" w:hAnsi="Calibri" w:cs="Calibri"/>
              </w:rPr>
            </w:pPr>
            <w:r w:rsidRPr="0069729B">
              <w:rPr>
                <w:rFonts w:ascii="Calibri" w:hAnsi="Calibri" w:cs="Calibri"/>
              </w:rPr>
              <w:t>(4) BLAU_AGE</w:t>
            </w:r>
          </w:p>
        </w:tc>
        <w:tc>
          <w:tcPr>
            <w:tcW w:w="414" w:type="pct"/>
            <w:tcBorders>
              <w:top w:val="nil"/>
              <w:left w:val="nil"/>
              <w:bottom w:val="nil"/>
              <w:right w:val="nil"/>
            </w:tcBorders>
          </w:tcPr>
          <w:p w14:paraId="489FD926"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0.131</w:t>
            </w:r>
          </w:p>
        </w:tc>
        <w:tc>
          <w:tcPr>
            <w:tcW w:w="350" w:type="pct"/>
            <w:tcBorders>
              <w:top w:val="nil"/>
              <w:left w:val="nil"/>
              <w:bottom w:val="nil"/>
              <w:right w:val="nil"/>
            </w:tcBorders>
          </w:tcPr>
          <w:p w14:paraId="375A68F6" w14:textId="77777777" w:rsidR="0069729B" w:rsidRPr="0069729B" w:rsidRDefault="0069729B" w:rsidP="00F0140C">
            <w:pPr>
              <w:widowControl w:val="0"/>
              <w:autoSpaceDE w:val="0"/>
              <w:autoSpaceDN w:val="0"/>
              <w:adjustRightInd w:val="0"/>
              <w:spacing w:after="0" w:line="240" w:lineRule="auto"/>
              <w:ind w:left="-57" w:right="-57"/>
              <w:jc w:val="both"/>
              <w:rPr>
                <w:rFonts w:ascii="Calibri" w:hAnsi="Calibri" w:cs="Calibri"/>
              </w:rPr>
            </w:pPr>
            <w:r w:rsidRPr="0069729B">
              <w:rPr>
                <w:rFonts w:ascii="Calibri" w:hAnsi="Calibri" w:cs="Calibri"/>
              </w:rPr>
              <w:t>0.135</w:t>
            </w:r>
          </w:p>
        </w:tc>
        <w:tc>
          <w:tcPr>
            <w:tcW w:w="413" w:type="pct"/>
            <w:tcBorders>
              <w:top w:val="nil"/>
              <w:left w:val="nil"/>
              <w:bottom w:val="nil"/>
              <w:right w:val="nil"/>
            </w:tcBorders>
          </w:tcPr>
          <w:p w14:paraId="22797D43"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0.104</w:t>
            </w:r>
          </w:p>
        </w:tc>
        <w:tc>
          <w:tcPr>
            <w:tcW w:w="352" w:type="pct"/>
            <w:tcBorders>
              <w:top w:val="nil"/>
              <w:left w:val="nil"/>
              <w:bottom w:val="nil"/>
              <w:right w:val="nil"/>
            </w:tcBorders>
          </w:tcPr>
          <w:p w14:paraId="29C7294A" w14:textId="77777777" w:rsidR="0069729B" w:rsidRPr="0069729B" w:rsidRDefault="0069729B" w:rsidP="00F0140C">
            <w:pPr>
              <w:widowControl w:val="0"/>
              <w:autoSpaceDE w:val="0"/>
              <w:autoSpaceDN w:val="0"/>
              <w:adjustRightInd w:val="0"/>
              <w:spacing w:after="0" w:line="240" w:lineRule="auto"/>
              <w:ind w:left="-57" w:right="-57"/>
              <w:jc w:val="both"/>
              <w:rPr>
                <w:rFonts w:ascii="Calibri" w:hAnsi="Calibri" w:cs="Calibri"/>
              </w:rPr>
            </w:pPr>
            <w:r w:rsidRPr="0069729B">
              <w:rPr>
                <w:rFonts w:ascii="Calibri" w:hAnsi="Calibri" w:cs="Calibri"/>
              </w:rPr>
              <w:t>1.000</w:t>
            </w:r>
          </w:p>
        </w:tc>
      </w:tr>
      <w:tr w:rsidR="0069729B" w:rsidRPr="0069729B" w14:paraId="389A4CC4" w14:textId="77777777" w:rsidTr="0069729B">
        <w:trPr>
          <w:gridAfter w:val="6"/>
          <w:wAfter w:w="2230" w:type="pct"/>
          <w:jc w:val="center"/>
        </w:trPr>
        <w:tc>
          <w:tcPr>
            <w:tcW w:w="910" w:type="pct"/>
            <w:tcBorders>
              <w:top w:val="nil"/>
              <w:left w:val="nil"/>
              <w:bottom w:val="nil"/>
              <w:right w:val="nil"/>
            </w:tcBorders>
          </w:tcPr>
          <w:p w14:paraId="6CDCFA5C" w14:textId="77777777" w:rsidR="0069729B" w:rsidRPr="0069729B" w:rsidRDefault="0069729B" w:rsidP="00F0140C">
            <w:pPr>
              <w:widowControl w:val="0"/>
              <w:autoSpaceDE w:val="0"/>
              <w:autoSpaceDN w:val="0"/>
              <w:adjustRightInd w:val="0"/>
              <w:spacing w:after="0" w:line="240" w:lineRule="auto"/>
              <w:ind w:left="-104"/>
              <w:jc w:val="both"/>
              <w:rPr>
                <w:rFonts w:ascii="Calibri" w:hAnsi="Calibri" w:cs="Calibri"/>
              </w:rPr>
            </w:pPr>
            <w:r w:rsidRPr="0069729B">
              <w:rPr>
                <w:rFonts w:ascii="Calibri" w:hAnsi="Calibri" w:cs="Calibri"/>
              </w:rPr>
              <w:t>(5) BLAU_EDU</w:t>
            </w:r>
          </w:p>
        </w:tc>
        <w:tc>
          <w:tcPr>
            <w:tcW w:w="414" w:type="pct"/>
            <w:tcBorders>
              <w:top w:val="nil"/>
              <w:left w:val="nil"/>
              <w:bottom w:val="nil"/>
              <w:right w:val="nil"/>
            </w:tcBorders>
          </w:tcPr>
          <w:p w14:paraId="747D9C5F"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0.104</w:t>
            </w:r>
          </w:p>
        </w:tc>
        <w:tc>
          <w:tcPr>
            <w:tcW w:w="350" w:type="pct"/>
            <w:tcBorders>
              <w:top w:val="nil"/>
              <w:left w:val="nil"/>
              <w:bottom w:val="nil"/>
              <w:right w:val="nil"/>
            </w:tcBorders>
          </w:tcPr>
          <w:p w14:paraId="11E4D995" w14:textId="77777777" w:rsidR="0069729B" w:rsidRPr="0069729B" w:rsidRDefault="0069729B" w:rsidP="00F0140C">
            <w:pPr>
              <w:widowControl w:val="0"/>
              <w:autoSpaceDE w:val="0"/>
              <w:autoSpaceDN w:val="0"/>
              <w:adjustRightInd w:val="0"/>
              <w:spacing w:after="0" w:line="240" w:lineRule="auto"/>
              <w:ind w:left="-57" w:right="-57"/>
              <w:jc w:val="both"/>
              <w:rPr>
                <w:rFonts w:ascii="Calibri" w:hAnsi="Calibri" w:cs="Calibri"/>
              </w:rPr>
            </w:pPr>
            <w:r w:rsidRPr="0069729B">
              <w:rPr>
                <w:rFonts w:ascii="Calibri" w:hAnsi="Calibri" w:cs="Calibri"/>
              </w:rPr>
              <w:t>0.047</w:t>
            </w:r>
          </w:p>
        </w:tc>
        <w:tc>
          <w:tcPr>
            <w:tcW w:w="413" w:type="pct"/>
            <w:tcBorders>
              <w:top w:val="nil"/>
              <w:left w:val="nil"/>
              <w:bottom w:val="nil"/>
              <w:right w:val="nil"/>
            </w:tcBorders>
          </w:tcPr>
          <w:p w14:paraId="137BE05B"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0.361</w:t>
            </w:r>
          </w:p>
        </w:tc>
        <w:tc>
          <w:tcPr>
            <w:tcW w:w="352" w:type="pct"/>
            <w:tcBorders>
              <w:top w:val="nil"/>
              <w:left w:val="nil"/>
              <w:bottom w:val="nil"/>
              <w:right w:val="nil"/>
            </w:tcBorders>
          </w:tcPr>
          <w:p w14:paraId="125AB184" w14:textId="77777777" w:rsidR="0069729B" w:rsidRPr="0069729B" w:rsidRDefault="0069729B" w:rsidP="00F0140C">
            <w:pPr>
              <w:widowControl w:val="0"/>
              <w:autoSpaceDE w:val="0"/>
              <w:autoSpaceDN w:val="0"/>
              <w:adjustRightInd w:val="0"/>
              <w:spacing w:after="0" w:line="240" w:lineRule="auto"/>
              <w:ind w:left="-57" w:right="-57"/>
              <w:jc w:val="both"/>
              <w:rPr>
                <w:rFonts w:ascii="Calibri" w:hAnsi="Calibri" w:cs="Calibri"/>
              </w:rPr>
            </w:pPr>
            <w:r w:rsidRPr="0069729B">
              <w:rPr>
                <w:rFonts w:ascii="Calibri" w:hAnsi="Calibri" w:cs="Calibri"/>
              </w:rPr>
              <w:t>0.171</w:t>
            </w:r>
          </w:p>
        </w:tc>
        <w:tc>
          <w:tcPr>
            <w:tcW w:w="331" w:type="pct"/>
            <w:tcBorders>
              <w:top w:val="nil"/>
              <w:left w:val="nil"/>
              <w:bottom w:val="nil"/>
              <w:right w:val="nil"/>
            </w:tcBorders>
          </w:tcPr>
          <w:p w14:paraId="3C58E01B" w14:textId="77777777" w:rsidR="0069729B" w:rsidRPr="0069729B" w:rsidRDefault="0069729B" w:rsidP="00F0140C">
            <w:pPr>
              <w:widowControl w:val="0"/>
              <w:autoSpaceDE w:val="0"/>
              <w:autoSpaceDN w:val="0"/>
              <w:adjustRightInd w:val="0"/>
              <w:spacing w:after="0" w:line="240" w:lineRule="auto"/>
              <w:ind w:left="-15840" w:right="-57"/>
              <w:jc w:val="both"/>
              <w:rPr>
                <w:rFonts w:ascii="Calibri" w:hAnsi="Calibri" w:cs="Calibri"/>
              </w:rPr>
            </w:pPr>
            <w:r w:rsidRPr="0069729B">
              <w:rPr>
                <w:rFonts w:ascii="Calibri" w:hAnsi="Calibri" w:cs="Calibri"/>
              </w:rPr>
              <w:t>1.000</w:t>
            </w:r>
          </w:p>
        </w:tc>
      </w:tr>
      <w:tr w:rsidR="0069729B" w:rsidRPr="0069729B" w14:paraId="7B4A5281" w14:textId="77777777" w:rsidTr="0069729B">
        <w:trPr>
          <w:gridAfter w:val="5"/>
          <w:wAfter w:w="1859" w:type="pct"/>
          <w:jc w:val="center"/>
        </w:trPr>
        <w:tc>
          <w:tcPr>
            <w:tcW w:w="910" w:type="pct"/>
            <w:tcBorders>
              <w:top w:val="nil"/>
              <w:left w:val="nil"/>
              <w:bottom w:val="nil"/>
              <w:right w:val="nil"/>
            </w:tcBorders>
          </w:tcPr>
          <w:p w14:paraId="127FD6B2" w14:textId="77777777" w:rsidR="0069729B" w:rsidRPr="0069729B" w:rsidRDefault="0069729B" w:rsidP="00F0140C">
            <w:pPr>
              <w:widowControl w:val="0"/>
              <w:autoSpaceDE w:val="0"/>
              <w:autoSpaceDN w:val="0"/>
              <w:adjustRightInd w:val="0"/>
              <w:spacing w:after="0" w:line="240" w:lineRule="auto"/>
              <w:ind w:left="-104"/>
              <w:jc w:val="both"/>
              <w:rPr>
                <w:rFonts w:ascii="Calibri" w:hAnsi="Calibri" w:cs="Calibri"/>
              </w:rPr>
            </w:pPr>
            <w:r w:rsidRPr="0069729B">
              <w:rPr>
                <w:rFonts w:ascii="Calibri" w:hAnsi="Calibri" w:cs="Calibri"/>
              </w:rPr>
              <w:t>(6) BOARDSIZE</w:t>
            </w:r>
          </w:p>
        </w:tc>
        <w:tc>
          <w:tcPr>
            <w:tcW w:w="414" w:type="pct"/>
            <w:tcBorders>
              <w:top w:val="nil"/>
              <w:left w:val="nil"/>
              <w:bottom w:val="nil"/>
              <w:right w:val="nil"/>
            </w:tcBorders>
          </w:tcPr>
          <w:p w14:paraId="4D5C15D3"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0.427</w:t>
            </w:r>
          </w:p>
        </w:tc>
        <w:tc>
          <w:tcPr>
            <w:tcW w:w="350" w:type="pct"/>
            <w:tcBorders>
              <w:top w:val="nil"/>
              <w:left w:val="nil"/>
              <w:bottom w:val="nil"/>
              <w:right w:val="nil"/>
            </w:tcBorders>
          </w:tcPr>
          <w:p w14:paraId="60BE0B1A" w14:textId="77777777" w:rsidR="0069729B" w:rsidRPr="0069729B" w:rsidRDefault="0069729B" w:rsidP="00F0140C">
            <w:pPr>
              <w:widowControl w:val="0"/>
              <w:autoSpaceDE w:val="0"/>
              <w:autoSpaceDN w:val="0"/>
              <w:adjustRightInd w:val="0"/>
              <w:spacing w:after="0" w:line="240" w:lineRule="auto"/>
              <w:ind w:left="-57" w:right="-57"/>
              <w:jc w:val="both"/>
              <w:rPr>
                <w:rFonts w:ascii="Calibri" w:hAnsi="Calibri" w:cs="Calibri"/>
              </w:rPr>
            </w:pPr>
            <w:r w:rsidRPr="0069729B">
              <w:rPr>
                <w:rFonts w:ascii="Calibri" w:hAnsi="Calibri" w:cs="Calibri"/>
              </w:rPr>
              <w:t>0.253</w:t>
            </w:r>
          </w:p>
        </w:tc>
        <w:tc>
          <w:tcPr>
            <w:tcW w:w="413" w:type="pct"/>
            <w:tcBorders>
              <w:top w:val="nil"/>
              <w:left w:val="nil"/>
              <w:bottom w:val="nil"/>
              <w:right w:val="nil"/>
            </w:tcBorders>
          </w:tcPr>
          <w:p w14:paraId="75BCE146"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0.154</w:t>
            </w:r>
          </w:p>
        </w:tc>
        <w:tc>
          <w:tcPr>
            <w:tcW w:w="352" w:type="pct"/>
            <w:tcBorders>
              <w:top w:val="nil"/>
              <w:left w:val="nil"/>
              <w:bottom w:val="nil"/>
              <w:right w:val="nil"/>
            </w:tcBorders>
          </w:tcPr>
          <w:p w14:paraId="6A1B2BCB" w14:textId="77777777" w:rsidR="0069729B" w:rsidRPr="0069729B" w:rsidRDefault="0069729B" w:rsidP="00F0140C">
            <w:pPr>
              <w:widowControl w:val="0"/>
              <w:autoSpaceDE w:val="0"/>
              <w:autoSpaceDN w:val="0"/>
              <w:adjustRightInd w:val="0"/>
              <w:spacing w:after="0" w:line="240" w:lineRule="auto"/>
              <w:ind w:left="-57" w:right="-57"/>
              <w:jc w:val="both"/>
              <w:rPr>
                <w:rFonts w:ascii="Calibri" w:hAnsi="Calibri" w:cs="Calibri"/>
              </w:rPr>
            </w:pPr>
            <w:r w:rsidRPr="0069729B">
              <w:rPr>
                <w:rFonts w:ascii="Calibri" w:hAnsi="Calibri" w:cs="Calibri"/>
              </w:rPr>
              <w:t>0.210</w:t>
            </w:r>
          </w:p>
        </w:tc>
        <w:tc>
          <w:tcPr>
            <w:tcW w:w="331" w:type="pct"/>
            <w:tcBorders>
              <w:top w:val="nil"/>
              <w:left w:val="nil"/>
              <w:bottom w:val="nil"/>
              <w:right w:val="nil"/>
            </w:tcBorders>
          </w:tcPr>
          <w:p w14:paraId="2F6C0435" w14:textId="77777777" w:rsidR="0069729B" w:rsidRPr="0069729B" w:rsidRDefault="0069729B" w:rsidP="00F0140C">
            <w:pPr>
              <w:widowControl w:val="0"/>
              <w:autoSpaceDE w:val="0"/>
              <w:autoSpaceDN w:val="0"/>
              <w:adjustRightInd w:val="0"/>
              <w:spacing w:after="0" w:line="240" w:lineRule="auto"/>
              <w:ind w:left="-15840" w:right="-57"/>
              <w:jc w:val="both"/>
              <w:rPr>
                <w:rFonts w:ascii="Calibri" w:hAnsi="Calibri" w:cs="Calibri"/>
              </w:rPr>
            </w:pPr>
            <w:r w:rsidRPr="0069729B">
              <w:rPr>
                <w:rFonts w:ascii="Calibri" w:hAnsi="Calibri" w:cs="Calibri"/>
              </w:rPr>
              <w:t>0.347</w:t>
            </w:r>
          </w:p>
        </w:tc>
        <w:tc>
          <w:tcPr>
            <w:tcW w:w="372" w:type="pct"/>
            <w:tcBorders>
              <w:top w:val="nil"/>
              <w:left w:val="nil"/>
              <w:bottom w:val="nil"/>
              <w:right w:val="nil"/>
            </w:tcBorders>
          </w:tcPr>
          <w:p w14:paraId="5DEA2996" w14:textId="77777777" w:rsidR="0069729B" w:rsidRPr="0069729B" w:rsidRDefault="0069729B" w:rsidP="00F0140C">
            <w:pPr>
              <w:widowControl w:val="0"/>
              <w:autoSpaceDE w:val="0"/>
              <w:autoSpaceDN w:val="0"/>
              <w:adjustRightInd w:val="0"/>
              <w:spacing w:after="0" w:line="240" w:lineRule="auto"/>
              <w:ind w:left="-57" w:right="-57"/>
              <w:jc w:val="both"/>
              <w:rPr>
                <w:rFonts w:ascii="Calibri" w:hAnsi="Calibri" w:cs="Calibri"/>
              </w:rPr>
            </w:pPr>
            <w:r w:rsidRPr="0069729B">
              <w:rPr>
                <w:rFonts w:ascii="Calibri" w:hAnsi="Calibri" w:cs="Calibri"/>
              </w:rPr>
              <w:t>1.000</w:t>
            </w:r>
          </w:p>
        </w:tc>
      </w:tr>
      <w:tr w:rsidR="0069729B" w:rsidRPr="0069729B" w14:paraId="2926D010" w14:textId="77777777" w:rsidTr="0069729B">
        <w:trPr>
          <w:gridAfter w:val="4"/>
          <w:wAfter w:w="1446" w:type="pct"/>
          <w:jc w:val="center"/>
        </w:trPr>
        <w:tc>
          <w:tcPr>
            <w:tcW w:w="910" w:type="pct"/>
            <w:tcBorders>
              <w:top w:val="nil"/>
              <w:left w:val="nil"/>
              <w:bottom w:val="nil"/>
              <w:right w:val="nil"/>
            </w:tcBorders>
          </w:tcPr>
          <w:p w14:paraId="6D4C1818" w14:textId="77777777" w:rsidR="0069729B" w:rsidRPr="0069729B" w:rsidRDefault="0069729B" w:rsidP="00F0140C">
            <w:pPr>
              <w:widowControl w:val="0"/>
              <w:autoSpaceDE w:val="0"/>
              <w:autoSpaceDN w:val="0"/>
              <w:adjustRightInd w:val="0"/>
              <w:spacing w:after="0" w:line="240" w:lineRule="auto"/>
              <w:ind w:left="-104"/>
              <w:jc w:val="both"/>
              <w:rPr>
                <w:rFonts w:ascii="Calibri" w:hAnsi="Calibri" w:cs="Calibri"/>
              </w:rPr>
            </w:pPr>
            <w:r w:rsidRPr="0069729B">
              <w:rPr>
                <w:rFonts w:ascii="Calibri" w:hAnsi="Calibri" w:cs="Calibri"/>
              </w:rPr>
              <w:t>(7) FOR</w:t>
            </w:r>
          </w:p>
        </w:tc>
        <w:tc>
          <w:tcPr>
            <w:tcW w:w="414" w:type="pct"/>
            <w:tcBorders>
              <w:top w:val="nil"/>
              <w:left w:val="nil"/>
              <w:bottom w:val="nil"/>
              <w:right w:val="nil"/>
            </w:tcBorders>
          </w:tcPr>
          <w:p w14:paraId="1B454D07"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0.448</w:t>
            </w:r>
          </w:p>
        </w:tc>
        <w:tc>
          <w:tcPr>
            <w:tcW w:w="350" w:type="pct"/>
            <w:tcBorders>
              <w:top w:val="nil"/>
              <w:left w:val="nil"/>
              <w:bottom w:val="nil"/>
              <w:right w:val="nil"/>
            </w:tcBorders>
          </w:tcPr>
          <w:p w14:paraId="4CA8C635" w14:textId="77777777" w:rsidR="0069729B" w:rsidRPr="0069729B" w:rsidRDefault="0069729B" w:rsidP="00F0140C">
            <w:pPr>
              <w:widowControl w:val="0"/>
              <w:autoSpaceDE w:val="0"/>
              <w:autoSpaceDN w:val="0"/>
              <w:adjustRightInd w:val="0"/>
              <w:spacing w:after="0" w:line="240" w:lineRule="auto"/>
              <w:ind w:left="-57" w:right="-57"/>
              <w:jc w:val="both"/>
              <w:rPr>
                <w:rFonts w:ascii="Calibri" w:hAnsi="Calibri" w:cs="Calibri"/>
              </w:rPr>
            </w:pPr>
            <w:r w:rsidRPr="0069729B">
              <w:rPr>
                <w:rFonts w:ascii="Calibri" w:hAnsi="Calibri" w:cs="Calibri"/>
              </w:rPr>
              <w:t>0.264</w:t>
            </w:r>
          </w:p>
        </w:tc>
        <w:tc>
          <w:tcPr>
            <w:tcW w:w="413" w:type="pct"/>
            <w:tcBorders>
              <w:top w:val="nil"/>
              <w:left w:val="nil"/>
              <w:bottom w:val="nil"/>
              <w:right w:val="nil"/>
            </w:tcBorders>
          </w:tcPr>
          <w:p w14:paraId="01C8AFBB"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0.441</w:t>
            </w:r>
          </w:p>
        </w:tc>
        <w:tc>
          <w:tcPr>
            <w:tcW w:w="352" w:type="pct"/>
            <w:tcBorders>
              <w:top w:val="nil"/>
              <w:left w:val="nil"/>
              <w:bottom w:val="nil"/>
              <w:right w:val="nil"/>
            </w:tcBorders>
          </w:tcPr>
          <w:p w14:paraId="0B0A4F8F" w14:textId="77777777" w:rsidR="0069729B" w:rsidRPr="0069729B" w:rsidRDefault="0069729B" w:rsidP="00F0140C">
            <w:pPr>
              <w:widowControl w:val="0"/>
              <w:autoSpaceDE w:val="0"/>
              <w:autoSpaceDN w:val="0"/>
              <w:adjustRightInd w:val="0"/>
              <w:spacing w:after="0" w:line="240" w:lineRule="auto"/>
              <w:ind w:left="-57" w:right="-57"/>
              <w:jc w:val="both"/>
              <w:rPr>
                <w:rFonts w:ascii="Calibri" w:hAnsi="Calibri" w:cs="Calibri"/>
              </w:rPr>
            </w:pPr>
            <w:r w:rsidRPr="0069729B">
              <w:rPr>
                <w:rFonts w:ascii="Calibri" w:hAnsi="Calibri" w:cs="Calibri"/>
              </w:rPr>
              <w:t>0.135</w:t>
            </w:r>
          </w:p>
        </w:tc>
        <w:tc>
          <w:tcPr>
            <w:tcW w:w="331" w:type="pct"/>
            <w:tcBorders>
              <w:top w:val="nil"/>
              <w:left w:val="nil"/>
              <w:bottom w:val="nil"/>
              <w:right w:val="nil"/>
            </w:tcBorders>
          </w:tcPr>
          <w:p w14:paraId="259AE464" w14:textId="77777777" w:rsidR="0069729B" w:rsidRPr="0069729B" w:rsidRDefault="0069729B" w:rsidP="00F0140C">
            <w:pPr>
              <w:widowControl w:val="0"/>
              <w:autoSpaceDE w:val="0"/>
              <w:autoSpaceDN w:val="0"/>
              <w:adjustRightInd w:val="0"/>
              <w:spacing w:after="0" w:line="240" w:lineRule="auto"/>
              <w:ind w:left="-15840" w:right="-57"/>
              <w:jc w:val="both"/>
              <w:rPr>
                <w:rFonts w:ascii="Calibri" w:hAnsi="Calibri" w:cs="Calibri"/>
              </w:rPr>
            </w:pPr>
            <w:r w:rsidRPr="0069729B">
              <w:rPr>
                <w:rFonts w:ascii="Calibri" w:hAnsi="Calibri" w:cs="Calibri"/>
              </w:rPr>
              <w:t>0.333</w:t>
            </w:r>
          </w:p>
        </w:tc>
        <w:tc>
          <w:tcPr>
            <w:tcW w:w="372" w:type="pct"/>
            <w:tcBorders>
              <w:top w:val="nil"/>
              <w:left w:val="nil"/>
              <w:bottom w:val="nil"/>
              <w:right w:val="nil"/>
            </w:tcBorders>
          </w:tcPr>
          <w:p w14:paraId="423886B8" w14:textId="77777777" w:rsidR="0069729B" w:rsidRPr="0069729B" w:rsidRDefault="0069729B" w:rsidP="00F0140C">
            <w:pPr>
              <w:widowControl w:val="0"/>
              <w:autoSpaceDE w:val="0"/>
              <w:autoSpaceDN w:val="0"/>
              <w:adjustRightInd w:val="0"/>
              <w:spacing w:after="0" w:line="240" w:lineRule="auto"/>
              <w:ind w:left="-57" w:right="-57"/>
              <w:jc w:val="both"/>
              <w:rPr>
                <w:rFonts w:ascii="Calibri" w:hAnsi="Calibri" w:cs="Calibri"/>
              </w:rPr>
            </w:pPr>
            <w:r w:rsidRPr="0069729B">
              <w:rPr>
                <w:rFonts w:ascii="Calibri" w:hAnsi="Calibri" w:cs="Calibri"/>
              </w:rPr>
              <w:t>0.362</w:t>
            </w:r>
          </w:p>
        </w:tc>
        <w:tc>
          <w:tcPr>
            <w:tcW w:w="413" w:type="pct"/>
            <w:tcBorders>
              <w:top w:val="nil"/>
              <w:left w:val="nil"/>
              <w:bottom w:val="nil"/>
              <w:right w:val="nil"/>
            </w:tcBorders>
          </w:tcPr>
          <w:p w14:paraId="0D95067E"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1.000</w:t>
            </w:r>
          </w:p>
        </w:tc>
      </w:tr>
      <w:tr w:rsidR="0069729B" w:rsidRPr="0069729B" w14:paraId="662B9436" w14:textId="77777777" w:rsidTr="0069729B">
        <w:trPr>
          <w:gridAfter w:val="3"/>
          <w:wAfter w:w="1032" w:type="pct"/>
          <w:jc w:val="center"/>
        </w:trPr>
        <w:tc>
          <w:tcPr>
            <w:tcW w:w="910" w:type="pct"/>
            <w:tcBorders>
              <w:top w:val="nil"/>
              <w:left w:val="nil"/>
              <w:bottom w:val="nil"/>
              <w:right w:val="nil"/>
            </w:tcBorders>
          </w:tcPr>
          <w:p w14:paraId="5108C9CE" w14:textId="77777777" w:rsidR="0069729B" w:rsidRPr="0069729B" w:rsidRDefault="0069729B" w:rsidP="00F0140C">
            <w:pPr>
              <w:widowControl w:val="0"/>
              <w:autoSpaceDE w:val="0"/>
              <w:autoSpaceDN w:val="0"/>
              <w:adjustRightInd w:val="0"/>
              <w:spacing w:after="0" w:line="240" w:lineRule="auto"/>
              <w:ind w:left="-104"/>
              <w:jc w:val="both"/>
              <w:rPr>
                <w:rFonts w:ascii="Calibri" w:hAnsi="Calibri" w:cs="Calibri"/>
              </w:rPr>
            </w:pPr>
            <w:r w:rsidRPr="0069729B">
              <w:rPr>
                <w:rFonts w:ascii="Calibri" w:hAnsi="Calibri" w:cs="Calibri"/>
              </w:rPr>
              <w:t>(8) FAM</w:t>
            </w:r>
          </w:p>
        </w:tc>
        <w:tc>
          <w:tcPr>
            <w:tcW w:w="414" w:type="pct"/>
            <w:tcBorders>
              <w:top w:val="nil"/>
              <w:left w:val="nil"/>
              <w:bottom w:val="nil"/>
              <w:right w:val="nil"/>
            </w:tcBorders>
          </w:tcPr>
          <w:p w14:paraId="5932D56D"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-0.344</w:t>
            </w:r>
          </w:p>
        </w:tc>
        <w:tc>
          <w:tcPr>
            <w:tcW w:w="350" w:type="pct"/>
            <w:tcBorders>
              <w:top w:val="nil"/>
              <w:left w:val="nil"/>
              <w:bottom w:val="nil"/>
              <w:right w:val="nil"/>
            </w:tcBorders>
          </w:tcPr>
          <w:p w14:paraId="0E329E87" w14:textId="77777777" w:rsidR="0069729B" w:rsidRPr="0069729B" w:rsidRDefault="0069729B" w:rsidP="00F0140C">
            <w:pPr>
              <w:widowControl w:val="0"/>
              <w:autoSpaceDE w:val="0"/>
              <w:autoSpaceDN w:val="0"/>
              <w:adjustRightInd w:val="0"/>
              <w:spacing w:after="0" w:line="240" w:lineRule="auto"/>
              <w:ind w:left="-57" w:right="-57"/>
              <w:jc w:val="both"/>
              <w:rPr>
                <w:rFonts w:ascii="Calibri" w:hAnsi="Calibri" w:cs="Calibri"/>
              </w:rPr>
            </w:pPr>
            <w:r w:rsidRPr="0069729B">
              <w:rPr>
                <w:rFonts w:ascii="Calibri" w:hAnsi="Calibri" w:cs="Calibri"/>
              </w:rPr>
              <w:t>-0.101</w:t>
            </w:r>
          </w:p>
        </w:tc>
        <w:tc>
          <w:tcPr>
            <w:tcW w:w="413" w:type="pct"/>
            <w:tcBorders>
              <w:top w:val="nil"/>
              <w:left w:val="nil"/>
              <w:bottom w:val="nil"/>
              <w:right w:val="nil"/>
            </w:tcBorders>
          </w:tcPr>
          <w:p w14:paraId="46F8520C"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-0.365</w:t>
            </w:r>
          </w:p>
        </w:tc>
        <w:tc>
          <w:tcPr>
            <w:tcW w:w="352" w:type="pct"/>
            <w:tcBorders>
              <w:top w:val="nil"/>
              <w:left w:val="nil"/>
              <w:bottom w:val="nil"/>
              <w:right w:val="nil"/>
            </w:tcBorders>
          </w:tcPr>
          <w:p w14:paraId="3F706842" w14:textId="77777777" w:rsidR="0069729B" w:rsidRPr="0069729B" w:rsidRDefault="0069729B" w:rsidP="00F0140C">
            <w:pPr>
              <w:widowControl w:val="0"/>
              <w:autoSpaceDE w:val="0"/>
              <w:autoSpaceDN w:val="0"/>
              <w:adjustRightInd w:val="0"/>
              <w:spacing w:after="0" w:line="240" w:lineRule="auto"/>
              <w:ind w:left="-57" w:right="-57"/>
              <w:jc w:val="both"/>
              <w:rPr>
                <w:rFonts w:ascii="Calibri" w:hAnsi="Calibri" w:cs="Calibri"/>
              </w:rPr>
            </w:pPr>
            <w:r w:rsidRPr="0069729B">
              <w:rPr>
                <w:rFonts w:ascii="Calibri" w:hAnsi="Calibri" w:cs="Calibri"/>
              </w:rPr>
              <w:t>0.090</w:t>
            </w:r>
          </w:p>
        </w:tc>
        <w:tc>
          <w:tcPr>
            <w:tcW w:w="331" w:type="pct"/>
            <w:tcBorders>
              <w:top w:val="nil"/>
              <w:left w:val="nil"/>
              <w:bottom w:val="nil"/>
              <w:right w:val="nil"/>
            </w:tcBorders>
          </w:tcPr>
          <w:p w14:paraId="565C73E8" w14:textId="77777777" w:rsidR="0069729B" w:rsidRPr="0069729B" w:rsidRDefault="0069729B" w:rsidP="00F0140C">
            <w:pPr>
              <w:widowControl w:val="0"/>
              <w:autoSpaceDE w:val="0"/>
              <w:autoSpaceDN w:val="0"/>
              <w:adjustRightInd w:val="0"/>
              <w:spacing w:after="0" w:line="240" w:lineRule="auto"/>
              <w:ind w:left="-15840" w:right="-57"/>
              <w:jc w:val="both"/>
              <w:rPr>
                <w:rFonts w:ascii="Calibri" w:hAnsi="Calibri" w:cs="Calibri"/>
              </w:rPr>
            </w:pPr>
            <w:r w:rsidRPr="0069729B">
              <w:rPr>
                <w:rFonts w:ascii="Calibri" w:hAnsi="Calibri" w:cs="Calibri"/>
              </w:rPr>
              <w:t>-0.306</w:t>
            </w:r>
          </w:p>
        </w:tc>
        <w:tc>
          <w:tcPr>
            <w:tcW w:w="372" w:type="pct"/>
            <w:tcBorders>
              <w:top w:val="nil"/>
              <w:left w:val="nil"/>
              <w:bottom w:val="nil"/>
              <w:right w:val="nil"/>
            </w:tcBorders>
          </w:tcPr>
          <w:p w14:paraId="33D77382" w14:textId="77777777" w:rsidR="0069729B" w:rsidRPr="0069729B" w:rsidRDefault="0069729B" w:rsidP="00F0140C">
            <w:pPr>
              <w:widowControl w:val="0"/>
              <w:autoSpaceDE w:val="0"/>
              <w:autoSpaceDN w:val="0"/>
              <w:adjustRightInd w:val="0"/>
              <w:spacing w:after="0" w:line="240" w:lineRule="auto"/>
              <w:ind w:left="-57" w:right="-57"/>
              <w:jc w:val="both"/>
              <w:rPr>
                <w:rFonts w:ascii="Calibri" w:hAnsi="Calibri" w:cs="Calibri"/>
              </w:rPr>
            </w:pPr>
            <w:r w:rsidRPr="0069729B">
              <w:rPr>
                <w:rFonts w:ascii="Calibri" w:hAnsi="Calibri" w:cs="Calibri"/>
              </w:rPr>
              <w:t>-0.463</w:t>
            </w:r>
          </w:p>
        </w:tc>
        <w:tc>
          <w:tcPr>
            <w:tcW w:w="413" w:type="pct"/>
            <w:tcBorders>
              <w:top w:val="nil"/>
              <w:left w:val="nil"/>
              <w:bottom w:val="nil"/>
              <w:right w:val="nil"/>
            </w:tcBorders>
          </w:tcPr>
          <w:p w14:paraId="6B770F1A"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-0.479</w:t>
            </w:r>
          </w:p>
        </w:tc>
        <w:tc>
          <w:tcPr>
            <w:tcW w:w="414" w:type="pct"/>
            <w:tcBorders>
              <w:top w:val="nil"/>
              <w:left w:val="nil"/>
              <w:bottom w:val="nil"/>
              <w:right w:val="nil"/>
            </w:tcBorders>
          </w:tcPr>
          <w:p w14:paraId="518B4038"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1.000</w:t>
            </w:r>
          </w:p>
        </w:tc>
      </w:tr>
      <w:tr w:rsidR="0069729B" w:rsidRPr="0069729B" w14:paraId="51AACA2E" w14:textId="77777777" w:rsidTr="0069729B">
        <w:trPr>
          <w:gridAfter w:val="2"/>
          <w:wAfter w:w="684" w:type="pct"/>
          <w:jc w:val="center"/>
        </w:trPr>
        <w:tc>
          <w:tcPr>
            <w:tcW w:w="910" w:type="pct"/>
            <w:tcBorders>
              <w:top w:val="nil"/>
              <w:left w:val="nil"/>
              <w:bottom w:val="nil"/>
              <w:right w:val="nil"/>
            </w:tcBorders>
          </w:tcPr>
          <w:p w14:paraId="30E1BCBA" w14:textId="77777777" w:rsidR="0069729B" w:rsidRPr="0069729B" w:rsidRDefault="0069729B" w:rsidP="00F0140C">
            <w:pPr>
              <w:widowControl w:val="0"/>
              <w:autoSpaceDE w:val="0"/>
              <w:autoSpaceDN w:val="0"/>
              <w:adjustRightInd w:val="0"/>
              <w:spacing w:after="0" w:line="240" w:lineRule="auto"/>
              <w:ind w:left="-104"/>
              <w:jc w:val="both"/>
              <w:rPr>
                <w:rFonts w:ascii="Calibri" w:hAnsi="Calibri" w:cs="Calibri"/>
              </w:rPr>
            </w:pPr>
            <w:r w:rsidRPr="0069729B">
              <w:rPr>
                <w:rFonts w:ascii="Calibri" w:hAnsi="Calibri" w:cs="Calibri"/>
              </w:rPr>
              <w:t>(9) GOV</w:t>
            </w:r>
          </w:p>
        </w:tc>
        <w:tc>
          <w:tcPr>
            <w:tcW w:w="414" w:type="pct"/>
            <w:tcBorders>
              <w:top w:val="nil"/>
              <w:left w:val="nil"/>
              <w:bottom w:val="nil"/>
              <w:right w:val="nil"/>
            </w:tcBorders>
          </w:tcPr>
          <w:p w14:paraId="5F11EEA1"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0.694</w:t>
            </w:r>
          </w:p>
        </w:tc>
        <w:tc>
          <w:tcPr>
            <w:tcW w:w="350" w:type="pct"/>
            <w:tcBorders>
              <w:top w:val="nil"/>
              <w:left w:val="nil"/>
              <w:bottom w:val="nil"/>
              <w:right w:val="nil"/>
            </w:tcBorders>
          </w:tcPr>
          <w:p w14:paraId="4DFC8622" w14:textId="77777777" w:rsidR="0069729B" w:rsidRPr="0069729B" w:rsidRDefault="0069729B" w:rsidP="00F0140C">
            <w:pPr>
              <w:widowControl w:val="0"/>
              <w:autoSpaceDE w:val="0"/>
              <w:autoSpaceDN w:val="0"/>
              <w:adjustRightInd w:val="0"/>
              <w:spacing w:after="0" w:line="240" w:lineRule="auto"/>
              <w:ind w:left="-57" w:right="-57"/>
              <w:jc w:val="both"/>
              <w:rPr>
                <w:rFonts w:ascii="Calibri" w:hAnsi="Calibri" w:cs="Calibri"/>
              </w:rPr>
            </w:pPr>
            <w:r w:rsidRPr="0069729B">
              <w:rPr>
                <w:rFonts w:ascii="Calibri" w:hAnsi="Calibri" w:cs="Calibri"/>
              </w:rPr>
              <w:t>-0.165</w:t>
            </w:r>
          </w:p>
        </w:tc>
        <w:tc>
          <w:tcPr>
            <w:tcW w:w="413" w:type="pct"/>
            <w:tcBorders>
              <w:top w:val="nil"/>
              <w:left w:val="nil"/>
              <w:bottom w:val="nil"/>
              <w:right w:val="nil"/>
            </w:tcBorders>
          </w:tcPr>
          <w:p w14:paraId="6BB2928D"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-0.290</w:t>
            </w:r>
          </w:p>
        </w:tc>
        <w:tc>
          <w:tcPr>
            <w:tcW w:w="352" w:type="pct"/>
            <w:tcBorders>
              <w:top w:val="nil"/>
              <w:left w:val="nil"/>
              <w:bottom w:val="nil"/>
              <w:right w:val="nil"/>
            </w:tcBorders>
          </w:tcPr>
          <w:p w14:paraId="3CAD2103" w14:textId="77777777" w:rsidR="0069729B" w:rsidRPr="0069729B" w:rsidRDefault="0069729B" w:rsidP="00F0140C">
            <w:pPr>
              <w:widowControl w:val="0"/>
              <w:autoSpaceDE w:val="0"/>
              <w:autoSpaceDN w:val="0"/>
              <w:adjustRightInd w:val="0"/>
              <w:spacing w:after="0" w:line="240" w:lineRule="auto"/>
              <w:ind w:left="-57" w:right="-57"/>
              <w:jc w:val="both"/>
              <w:rPr>
                <w:rFonts w:ascii="Calibri" w:hAnsi="Calibri" w:cs="Calibri"/>
              </w:rPr>
            </w:pPr>
            <w:r w:rsidRPr="0069729B">
              <w:rPr>
                <w:rFonts w:ascii="Calibri" w:hAnsi="Calibri" w:cs="Calibri"/>
              </w:rPr>
              <w:t>-0.185</w:t>
            </w:r>
          </w:p>
        </w:tc>
        <w:tc>
          <w:tcPr>
            <w:tcW w:w="331" w:type="pct"/>
            <w:tcBorders>
              <w:top w:val="nil"/>
              <w:left w:val="nil"/>
              <w:bottom w:val="nil"/>
              <w:right w:val="nil"/>
            </w:tcBorders>
          </w:tcPr>
          <w:p w14:paraId="58D8383F" w14:textId="77777777" w:rsidR="0069729B" w:rsidRPr="0069729B" w:rsidRDefault="0069729B" w:rsidP="00F0140C">
            <w:pPr>
              <w:widowControl w:val="0"/>
              <w:autoSpaceDE w:val="0"/>
              <w:autoSpaceDN w:val="0"/>
              <w:adjustRightInd w:val="0"/>
              <w:spacing w:after="0" w:line="240" w:lineRule="auto"/>
              <w:ind w:left="-15840" w:right="-57"/>
              <w:jc w:val="both"/>
              <w:rPr>
                <w:rFonts w:ascii="Calibri" w:hAnsi="Calibri" w:cs="Calibri"/>
              </w:rPr>
            </w:pPr>
            <w:r w:rsidRPr="0069729B">
              <w:rPr>
                <w:rFonts w:ascii="Calibri" w:hAnsi="Calibri" w:cs="Calibri"/>
              </w:rPr>
              <w:t>0.018</w:t>
            </w:r>
          </w:p>
        </w:tc>
        <w:tc>
          <w:tcPr>
            <w:tcW w:w="372" w:type="pct"/>
            <w:tcBorders>
              <w:top w:val="nil"/>
              <w:left w:val="nil"/>
              <w:bottom w:val="nil"/>
              <w:right w:val="nil"/>
            </w:tcBorders>
          </w:tcPr>
          <w:p w14:paraId="79F29FA7" w14:textId="77777777" w:rsidR="0069729B" w:rsidRPr="0069729B" w:rsidRDefault="0069729B" w:rsidP="00F0140C">
            <w:pPr>
              <w:widowControl w:val="0"/>
              <w:autoSpaceDE w:val="0"/>
              <w:autoSpaceDN w:val="0"/>
              <w:adjustRightInd w:val="0"/>
              <w:spacing w:after="0" w:line="240" w:lineRule="auto"/>
              <w:ind w:left="-57" w:right="-57"/>
              <w:jc w:val="both"/>
              <w:rPr>
                <w:rFonts w:ascii="Calibri" w:hAnsi="Calibri" w:cs="Calibri"/>
              </w:rPr>
            </w:pPr>
            <w:r w:rsidRPr="0069729B">
              <w:rPr>
                <w:rFonts w:ascii="Calibri" w:hAnsi="Calibri" w:cs="Calibri"/>
              </w:rPr>
              <w:t>0.213</w:t>
            </w:r>
          </w:p>
        </w:tc>
        <w:tc>
          <w:tcPr>
            <w:tcW w:w="413" w:type="pct"/>
            <w:tcBorders>
              <w:top w:val="nil"/>
              <w:left w:val="nil"/>
              <w:bottom w:val="nil"/>
              <w:right w:val="nil"/>
            </w:tcBorders>
          </w:tcPr>
          <w:p w14:paraId="6BE3B08B"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-0.261</w:t>
            </w:r>
          </w:p>
        </w:tc>
        <w:tc>
          <w:tcPr>
            <w:tcW w:w="414" w:type="pct"/>
            <w:tcBorders>
              <w:top w:val="nil"/>
              <w:left w:val="nil"/>
              <w:bottom w:val="nil"/>
              <w:right w:val="nil"/>
            </w:tcBorders>
          </w:tcPr>
          <w:p w14:paraId="18F8AD79"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-0.474</w:t>
            </w:r>
          </w:p>
        </w:tc>
        <w:tc>
          <w:tcPr>
            <w:tcW w:w="348" w:type="pct"/>
            <w:tcBorders>
              <w:top w:val="nil"/>
              <w:left w:val="nil"/>
              <w:bottom w:val="nil"/>
              <w:right w:val="nil"/>
            </w:tcBorders>
          </w:tcPr>
          <w:p w14:paraId="1723C0DE" w14:textId="77777777" w:rsidR="0069729B" w:rsidRPr="0069729B" w:rsidRDefault="0069729B" w:rsidP="00F0140C">
            <w:pPr>
              <w:widowControl w:val="0"/>
              <w:autoSpaceDE w:val="0"/>
              <w:autoSpaceDN w:val="0"/>
              <w:adjustRightInd w:val="0"/>
              <w:spacing w:after="0" w:line="240" w:lineRule="auto"/>
              <w:ind w:left="-57"/>
              <w:jc w:val="both"/>
              <w:rPr>
                <w:rFonts w:ascii="Calibri" w:hAnsi="Calibri" w:cs="Calibri"/>
              </w:rPr>
            </w:pPr>
            <w:r w:rsidRPr="0069729B">
              <w:rPr>
                <w:rFonts w:ascii="Calibri" w:hAnsi="Calibri" w:cs="Calibri"/>
              </w:rPr>
              <w:t>1.000</w:t>
            </w:r>
          </w:p>
        </w:tc>
      </w:tr>
      <w:tr w:rsidR="0069729B" w:rsidRPr="0069729B" w14:paraId="3E15AA1B" w14:textId="77777777" w:rsidTr="0069729B">
        <w:trPr>
          <w:gridAfter w:val="1"/>
          <w:wAfter w:w="349" w:type="pct"/>
          <w:jc w:val="center"/>
        </w:trPr>
        <w:tc>
          <w:tcPr>
            <w:tcW w:w="910" w:type="pct"/>
            <w:tcBorders>
              <w:top w:val="nil"/>
              <w:left w:val="nil"/>
              <w:bottom w:val="nil"/>
              <w:right w:val="nil"/>
            </w:tcBorders>
          </w:tcPr>
          <w:p w14:paraId="201B3622" w14:textId="77777777" w:rsidR="0069729B" w:rsidRPr="0069729B" w:rsidRDefault="0069729B" w:rsidP="00F0140C">
            <w:pPr>
              <w:widowControl w:val="0"/>
              <w:autoSpaceDE w:val="0"/>
              <w:autoSpaceDN w:val="0"/>
              <w:adjustRightInd w:val="0"/>
              <w:spacing w:after="0" w:line="240" w:lineRule="auto"/>
              <w:ind w:left="-104"/>
              <w:jc w:val="both"/>
              <w:rPr>
                <w:rFonts w:ascii="Calibri" w:hAnsi="Calibri" w:cs="Calibri"/>
              </w:rPr>
            </w:pPr>
            <w:r w:rsidRPr="0069729B">
              <w:rPr>
                <w:rFonts w:ascii="Calibri" w:hAnsi="Calibri" w:cs="Calibri"/>
              </w:rPr>
              <w:t>(10) SIZE</w:t>
            </w:r>
          </w:p>
        </w:tc>
        <w:tc>
          <w:tcPr>
            <w:tcW w:w="414" w:type="pct"/>
            <w:tcBorders>
              <w:top w:val="nil"/>
              <w:left w:val="nil"/>
              <w:bottom w:val="nil"/>
              <w:right w:val="nil"/>
            </w:tcBorders>
          </w:tcPr>
          <w:p w14:paraId="4EF86DA6"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0.558</w:t>
            </w:r>
          </w:p>
        </w:tc>
        <w:tc>
          <w:tcPr>
            <w:tcW w:w="350" w:type="pct"/>
            <w:tcBorders>
              <w:top w:val="nil"/>
              <w:left w:val="nil"/>
              <w:bottom w:val="nil"/>
              <w:right w:val="nil"/>
            </w:tcBorders>
          </w:tcPr>
          <w:p w14:paraId="2B935518" w14:textId="77777777" w:rsidR="0069729B" w:rsidRPr="0069729B" w:rsidRDefault="0069729B" w:rsidP="00F0140C">
            <w:pPr>
              <w:widowControl w:val="0"/>
              <w:autoSpaceDE w:val="0"/>
              <w:autoSpaceDN w:val="0"/>
              <w:adjustRightInd w:val="0"/>
              <w:spacing w:after="0" w:line="240" w:lineRule="auto"/>
              <w:ind w:left="-57" w:right="-57"/>
              <w:jc w:val="both"/>
              <w:rPr>
                <w:rFonts w:ascii="Calibri" w:hAnsi="Calibri" w:cs="Calibri"/>
              </w:rPr>
            </w:pPr>
            <w:r w:rsidRPr="0069729B">
              <w:rPr>
                <w:rFonts w:ascii="Calibri" w:hAnsi="Calibri" w:cs="Calibri"/>
              </w:rPr>
              <w:t>0.175</w:t>
            </w:r>
          </w:p>
        </w:tc>
        <w:tc>
          <w:tcPr>
            <w:tcW w:w="413" w:type="pct"/>
            <w:tcBorders>
              <w:top w:val="nil"/>
              <w:left w:val="nil"/>
              <w:bottom w:val="nil"/>
              <w:right w:val="nil"/>
            </w:tcBorders>
          </w:tcPr>
          <w:p w14:paraId="4E3440C0"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0.127</w:t>
            </w:r>
          </w:p>
        </w:tc>
        <w:tc>
          <w:tcPr>
            <w:tcW w:w="352" w:type="pct"/>
            <w:tcBorders>
              <w:top w:val="nil"/>
              <w:left w:val="nil"/>
              <w:bottom w:val="nil"/>
              <w:right w:val="nil"/>
            </w:tcBorders>
          </w:tcPr>
          <w:p w14:paraId="45A4E715" w14:textId="77777777" w:rsidR="0069729B" w:rsidRPr="0069729B" w:rsidRDefault="0069729B" w:rsidP="00F0140C">
            <w:pPr>
              <w:widowControl w:val="0"/>
              <w:autoSpaceDE w:val="0"/>
              <w:autoSpaceDN w:val="0"/>
              <w:adjustRightInd w:val="0"/>
              <w:spacing w:after="0" w:line="240" w:lineRule="auto"/>
              <w:ind w:left="-57" w:right="-57"/>
              <w:jc w:val="both"/>
              <w:rPr>
                <w:rFonts w:ascii="Calibri" w:hAnsi="Calibri" w:cs="Calibri"/>
              </w:rPr>
            </w:pPr>
            <w:r w:rsidRPr="0069729B">
              <w:rPr>
                <w:rFonts w:ascii="Calibri" w:hAnsi="Calibri" w:cs="Calibri"/>
              </w:rPr>
              <w:t>0.163</w:t>
            </w:r>
          </w:p>
        </w:tc>
        <w:tc>
          <w:tcPr>
            <w:tcW w:w="331" w:type="pct"/>
            <w:tcBorders>
              <w:top w:val="nil"/>
              <w:left w:val="nil"/>
              <w:bottom w:val="nil"/>
              <w:right w:val="nil"/>
            </w:tcBorders>
          </w:tcPr>
          <w:p w14:paraId="6241E898" w14:textId="77777777" w:rsidR="0069729B" w:rsidRPr="0069729B" w:rsidRDefault="0069729B" w:rsidP="00F0140C">
            <w:pPr>
              <w:widowControl w:val="0"/>
              <w:autoSpaceDE w:val="0"/>
              <w:autoSpaceDN w:val="0"/>
              <w:adjustRightInd w:val="0"/>
              <w:spacing w:after="0" w:line="240" w:lineRule="auto"/>
              <w:ind w:left="-15840" w:right="-57"/>
              <w:jc w:val="both"/>
              <w:rPr>
                <w:rFonts w:ascii="Calibri" w:hAnsi="Calibri" w:cs="Calibri"/>
              </w:rPr>
            </w:pPr>
            <w:r w:rsidRPr="0069729B">
              <w:rPr>
                <w:rFonts w:ascii="Calibri" w:hAnsi="Calibri" w:cs="Calibri"/>
              </w:rPr>
              <w:t>0.351</w:t>
            </w:r>
          </w:p>
        </w:tc>
        <w:tc>
          <w:tcPr>
            <w:tcW w:w="372" w:type="pct"/>
            <w:tcBorders>
              <w:top w:val="nil"/>
              <w:left w:val="nil"/>
              <w:bottom w:val="nil"/>
              <w:right w:val="nil"/>
            </w:tcBorders>
          </w:tcPr>
          <w:p w14:paraId="1584F280" w14:textId="77777777" w:rsidR="0069729B" w:rsidRPr="0069729B" w:rsidRDefault="0069729B" w:rsidP="00F0140C">
            <w:pPr>
              <w:widowControl w:val="0"/>
              <w:autoSpaceDE w:val="0"/>
              <w:autoSpaceDN w:val="0"/>
              <w:adjustRightInd w:val="0"/>
              <w:spacing w:after="0" w:line="240" w:lineRule="auto"/>
              <w:ind w:left="-57" w:right="-57"/>
              <w:jc w:val="both"/>
              <w:rPr>
                <w:rFonts w:ascii="Calibri" w:hAnsi="Calibri" w:cs="Calibri"/>
              </w:rPr>
            </w:pPr>
            <w:r w:rsidRPr="0069729B">
              <w:rPr>
                <w:rFonts w:ascii="Calibri" w:hAnsi="Calibri" w:cs="Calibri"/>
              </w:rPr>
              <w:t>0.595</w:t>
            </w:r>
          </w:p>
        </w:tc>
        <w:tc>
          <w:tcPr>
            <w:tcW w:w="413" w:type="pct"/>
            <w:tcBorders>
              <w:top w:val="nil"/>
              <w:left w:val="nil"/>
              <w:bottom w:val="nil"/>
              <w:right w:val="nil"/>
            </w:tcBorders>
          </w:tcPr>
          <w:p w14:paraId="2857E5D4"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0.318</w:t>
            </w:r>
          </w:p>
        </w:tc>
        <w:tc>
          <w:tcPr>
            <w:tcW w:w="414" w:type="pct"/>
            <w:tcBorders>
              <w:top w:val="nil"/>
              <w:left w:val="nil"/>
              <w:bottom w:val="nil"/>
              <w:right w:val="nil"/>
            </w:tcBorders>
          </w:tcPr>
          <w:p w14:paraId="4F18BAE0"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-0.561</w:t>
            </w:r>
          </w:p>
        </w:tc>
        <w:tc>
          <w:tcPr>
            <w:tcW w:w="348" w:type="pct"/>
            <w:tcBorders>
              <w:top w:val="nil"/>
              <w:left w:val="nil"/>
              <w:bottom w:val="nil"/>
              <w:right w:val="nil"/>
            </w:tcBorders>
          </w:tcPr>
          <w:p w14:paraId="02C5FA72" w14:textId="77777777" w:rsidR="0069729B" w:rsidRPr="0069729B" w:rsidRDefault="0069729B" w:rsidP="00F0140C">
            <w:pPr>
              <w:widowControl w:val="0"/>
              <w:autoSpaceDE w:val="0"/>
              <w:autoSpaceDN w:val="0"/>
              <w:adjustRightInd w:val="0"/>
              <w:spacing w:after="0" w:line="240" w:lineRule="auto"/>
              <w:ind w:left="-57"/>
              <w:jc w:val="both"/>
              <w:rPr>
                <w:rFonts w:ascii="Calibri" w:hAnsi="Calibri" w:cs="Calibri"/>
              </w:rPr>
            </w:pPr>
            <w:r w:rsidRPr="0069729B">
              <w:rPr>
                <w:rFonts w:ascii="Calibri" w:hAnsi="Calibri" w:cs="Calibri"/>
              </w:rPr>
              <w:t>0.393</w:t>
            </w:r>
          </w:p>
        </w:tc>
        <w:tc>
          <w:tcPr>
            <w:tcW w:w="334" w:type="pct"/>
            <w:tcBorders>
              <w:top w:val="nil"/>
              <w:left w:val="nil"/>
              <w:bottom w:val="nil"/>
              <w:right w:val="nil"/>
            </w:tcBorders>
          </w:tcPr>
          <w:p w14:paraId="00259D71" w14:textId="77777777" w:rsidR="0069729B" w:rsidRPr="0069729B" w:rsidRDefault="0069729B" w:rsidP="00F0140C">
            <w:pPr>
              <w:widowControl w:val="0"/>
              <w:autoSpaceDE w:val="0"/>
              <w:autoSpaceDN w:val="0"/>
              <w:adjustRightInd w:val="0"/>
              <w:spacing w:after="0" w:line="240" w:lineRule="auto"/>
              <w:ind w:left="-57" w:right="-57"/>
              <w:jc w:val="both"/>
              <w:rPr>
                <w:rFonts w:ascii="Calibri" w:hAnsi="Calibri" w:cs="Calibri"/>
              </w:rPr>
            </w:pPr>
            <w:r w:rsidRPr="0069729B">
              <w:rPr>
                <w:rFonts w:ascii="Calibri" w:hAnsi="Calibri" w:cs="Calibri"/>
              </w:rPr>
              <w:t>1.000</w:t>
            </w:r>
          </w:p>
        </w:tc>
      </w:tr>
      <w:tr w:rsidR="0069729B" w:rsidRPr="0069729B" w14:paraId="2DC18B93" w14:textId="77777777" w:rsidTr="0069729B">
        <w:trPr>
          <w:jc w:val="center"/>
        </w:trPr>
        <w:tc>
          <w:tcPr>
            <w:tcW w:w="910" w:type="pct"/>
            <w:tcBorders>
              <w:top w:val="nil"/>
              <w:left w:val="nil"/>
              <w:bottom w:val="single" w:sz="4" w:space="0" w:color="auto"/>
              <w:right w:val="nil"/>
            </w:tcBorders>
          </w:tcPr>
          <w:p w14:paraId="602BA52B" w14:textId="77777777" w:rsidR="0069729B" w:rsidRPr="0069729B" w:rsidRDefault="0069729B" w:rsidP="00F0140C">
            <w:pPr>
              <w:widowControl w:val="0"/>
              <w:autoSpaceDE w:val="0"/>
              <w:autoSpaceDN w:val="0"/>
              <w:adjustRightInd w:val="0"/>
              <w:spacing w:after="0" w:line="240" w:lineRule="auto"/>
              <w:ind w:left="-104"/>
              <w:jc w:val="both"/>
              <w:rPr>
                <w:rFonts w:ascii="Calibri" w:hAnsi="Calibri" w:cs="Calibri"/>
              </w:rPr>
            </w:pPr>
            <w:r w:rsidRPr="0069729B">
              <w:rPr>
                <w:rFonts w:ascii="Calibri" w:hAnsi="Calibri" w:cs="Calibri"/>
              </w:rPr>
              <w:t>(11) ROA</w:t>
            </w:r>
          </w:p>
        </w:tc>
        <w:tc>
          <w:tcPr>
            <w:tcW w:w="414" w:type="pct"/>
            <w:tcBorders>
              <w:top w:val="nil"/>
              <w:left w:val="nil"/>
              <w:bottom w:val="single" w:sz="4" w:space="0" w:color="auto"/>
              <w:right w:val="nil"/>
            </w:tcBorders>
          </w:tcPr>
          <w:p w14:paraId="056C4AA0"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0.298</w:t>
            </w:r>
          </w:p>
        </w:tc>
        <w:tc>
          <w:tcPr>
            <w:tcW w:w="350" w:type="pct"/>
            <w:tcBorders>
              <w:top w:val="nil"/>
              <w:left w:val="nil"/>
              <w:bottom w:val="single" w:sz="4" w:space="0" w:color="auto"/>
              <w:right w:val="nil"/>
            </w:tcBorders>
          </w:tcPr>
          <w:p w14:paraId="26779419" w14:textId="77777777" w:rsidR="0069729B" w:rsidRPr="0069729B" w:rsidRDefault="0069729B" w:rsidP="00F0140C">
            <w:pPr>
              <w:widowControl w:val="0"/>
              <w:autoSpaceDE w:val="0"/>
              <w:autoSpaceDN w:val="0"/>
              <w:adjustRightInd w:val="0"/>
              <w:spacing w:after="0" w:line="240" w:lineRule="auto"/>
              <w:ind w:left="-57" w:right="-57"/>
              <w:jc w:val="both"/>
              <w:rPr>
                <w:rFonts w:ascii="Calibri" w:hAnsi="Calibri" w:cs="Calibri"/>
              </w:rPr>
            </w:pPr>
            <w:r w:rsidRPr="0069729B">
              <w:rPr>
                <w:rFonts w:ascii="Calibri" w:hAnsi="Calibri" w:cs="Calibri"/>
              </w:rPr>
              <w:t>-0.016</w:t>
            </w:r>
          </w:p>
        </w:tc>
        <w:tc>
          <w:tcPr>
            <w:tcW w:w="413" w:type="pct"/>
            <w:tcBorders>
              <w:top w:val="nil"/>
              <w:left w:val="nil"/>
              <w:bottom w:val="single" w:sz="4" w:space="0" w:color="auto"/>
              <w:right w:val="nil"/>
            </w:tcBorders>
          </w:tcPr>
          <w:p w14:paraId="547950DB"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-0.103</w:t>
            </w:r>
          </w:p>
        </w:tc>
        <w:tc>
          <w:tcPr>
            <w:tcW w:w="352" w:type="pct"/>
            <w:tcBorders>
              <w:top w:val="nil"/>
              <w:left w:val="nil"/>
              <w:bottom w:val="single" w:sz="4" w:space="0" w:color="auto"/>
              <w:right w:val="nil"/>
            </w:tcBorders>
          </w:tcPr>
          <w:p w14:paraId="4D1FD03A" w14:textId="77777777" w:rsidR="0069729B" w:rsidRPr="0069729B" w:rsidRDefault="0069729B" w:rsidP="00F0140C">
            <w:pPr>
              <w:widowControl w:val="0"/>
              <w:autoSpaceDE w:val="0"/>
              <w:autoSpaceDN w:val="0"/>
              <w:adjustRightInd w:val="0"/>
              <w:spacing w:after="0" w:line="240" w:lineRule="auto"/>
              <w:ind w:left="-57" w:right="-57"/>
              <w:jc w:val="both"/>
              <w:rPr>
                <w:rFonts w:ascii="Calibri" w:hAnsi="Calibri" w:cs="Calibri"/>
              </w:rPr>
            </w:pPr>
            <w:r w:rsidRPr="0069729B">
              <w:rPr>
                <w:rFonts w:ascii="Calibri" w:hAnsi="Calibri" w:cs="Calibri"/>
              </w:rPr>
              <w:t>0.022</w:t>
            </w:r>
          </w:p>
        </w:tc>
        <w:tc>
          <w:tcPr>
            <w:tcW w:w="331" w:type="pct"/>
            <w:tcBorders>
              <w:top w:val="nil"/>
              <w:left w:val="nil"/>
              <w:bottom w:val="single" w:sz="4" w:space="0" w:color="auto"/>
              <w:right w:val="nil"/>
            </w:tcBorders>
          </w:tcPr>
          <w:p w14:paraId="588425C6" w14:textId="77777777" w:rsidR="0069729B" w:rsidRPr="0069729B" w:rsidRDefault="0069729B" w:rsidP="00F0140C">
            <w:pPr>
              <w:widowControl w:val="0"/>
              <w:autoSpaceDE w:val="0"/>
              <w:autoSpaceDN w:val="0"/>
              <w:adjustRightInd w:val="0"/>
              <w:spacing w:after="0" w:line="240" w:lineRule="auto"/>
              <w:ind w:left="-15840" w:right="-57"/>
              <w:jc w:val="both"/>
              <w:rPr>
                <w:rFonts w:ascii="Calibri" w:hAnsi="Calibri" w:cs="Calibri"/>
              </w:rPr>
            </w:pPr>
            <w:r w:rsidRPr="0069729B">
              <w:rPr>
                <w:rFonts w:ascii="Calibri" w:hAnsi="Calibri" w:cs="Calibri"/>
              </w:rPr>
              <w:t>0.096</w:t>
            </w:r>
          </w:p>
        </w:tc>
        <w:tc>
          <w:tcPr>
            <w:tcW w:w="372" w:type="pct"/>
            <w:tcBorders>
              <w:top w:val="nil"/>
              <w:left w:val="nil"/>
              <w:bottom w:val="single" w:sz="4" w:space="0" w:color="auto"/>
              <w:right w:val="nil"/>
            </w:tcBorders>
          </w:tcPr>
          <w:p w14:paraId="60A9FB90" w14:textId="77777777" w:rsidR="0069729B" w:rsidRPr="0069729B" w:rsidRDefault="0069729B" w:rsidP="00F0140C">
            <w:pPr>
              <w:widowControl w:val="0"/>
              <w:autoSpaceDE w:val="0"/>
              <w:autoSpaceDN w:val="0"/>
              <w:adjustRightInd w:val="0"/>
              <w:spacing w:after="0" w:line="240" w:lineRule="auto"/>
              <w:ind w:left="-57" w:right="-57"/>
              <w:jc w:val="both"/>
              <w:rPr>
                <w:rFonts w:ascii="Calibri" w:hAnsi="Calibri" w:cs="Calibri"/>
              </w:rPr>
            </w:pPr>
            <w:r w:rsidRPr="0069729B">
              <w:rPr>
                <w:rFonts w:ascii="Calibri" w:hAnsi="Calibri" w:cs="Calibri"/>
              </w:rPr>
              <w:t>0.343</w:t>
            </w:r>
          </w:p>
        </w:tc>
        <w:tc>
          <w:tcPr>
            <w:tcW w:w="413" w:type="pct"/>
            <w:tcBorders>
              <w:top w:val="nil"/>
              <w:left w:val="nil"/>
              <w:bottom w:val="single" w:sz="4" w:space="0" w:color="auto"/>
              <w:right w:val="nil"/>
            </w:tcBorders>
          </w:tcPr>
          <w:p w14:paraId="7424ACF5"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-0.026</w:t>
            </w:r>
          </w:p>
        </w:tc>
        <w:tc>
          <w:tcPr>
            <w:tcW w:w="414" w:type="pct"/>
            <w:tcBorders>
              <w:top w:val="nil"/>
              <w:left w:val="nil"/>
              <w:bottom w:val="single" w:sz="4" w:space="0" w:color="auto"/>
              <w:right w:val="nil"/>
            </w:tcBorders>
          </w:tcPr>
          <w:p w14:paraId="3E0C378D"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-0.077</w:t>
            </w:r>
          </w:p>
        </w:tc>
        <w:tc>
          <w:tcPr>
            <w:tcW w:w="348" w:type="pct"/>
            <w:tcBorders>
              <w:top w:val="nil"/>
              <w:left w:val="nil"/>
              <w:bottom w:val="single" w:sz="4" w:space="0" w:color="auto"/>
              <w:right w:val="nil"/>
            </w:tcBorders>
          </w:tcPr>
          <w:p w14:paraId="75BC027F" w14:textId="77777777" w:rsidR="0069729B" w:rsidRPr="0069729B" w:rsidRDefault="0069729B" w:rsidP="00F0140C">
            <w:pPr>
              <w:widowControl w:val="0"/>
              <w:autoSpaceDE w:val="0"/>
              <w:autoSpaceDN w:val="0"/>
              <w:adjustRightInd w:val="0"/>
              <w:spacing w:after="0" w:line="240" w:lineRule="auto"/>
              <w:ind w:left="-57"/>
              <w:jc w:val="both"/>
              <w:rPr>
                <w:rFonts w:ascii="Calibri" w:hAnsi="Calibri" w:cs="Calibri"/>
              </w:rPr>
            </w:pPr>
            <w:r w:rsidRPr="0069729B">
              <w:rPr>
                <w:rFonts w:ascii="Calibri" w:hAnsi="Calibri" w:cs="Calibri"/>
              </w:rPr>
              <w:t>0.176</w:t>
            </w:r>
          </w:p>
        </w:tc>
        <w:tc>
          <w:tcPr>
            <w:tcW w:w="334" w:type="pct"/>
            <w:tcBorders>
              <w:top w:val="nil"/>
              <w:left w:val="nil"/>
              <w:bottom w:val="single" w:sz="4" w:space="0" w:color="auto"/>
              <w:right w:val="nil"/>
            </w:tcBorders>
          </w:tcPr>
          <w:p w14:paraId="48B8C004" w14:textId="77777777" w:rsidR="0069729B" w:rsidRPr="0069729B" w:rsidRDefault="0069729B" w:rsidP="00F0140C">
            <w:pPr>
              <w:widowControl w:val="0"/>
              <w:autoSpaceDE w:val="0"/>
              <w:autoSpaceDN w:val="0"/>
              <w:adjustRightInd w:val="0"/>
              <w:spacing w:after="0" w:line="240" w:lineRule="auto"/>
              <w:ind w:left="-57" w:right="-57"/>
              <w:jc w:val="both"/>
              <w:rPr>
                <w:rFonts w:ascii="Calibri" w:hAnsi="Calibri" w:cs="Calibri"/>
              </w:rPr>
            </w:pPr>
            <w:r w:rsidRPr="0069729B">
              <w:rPr>
                <w:rFonts w:ascii="Calibri" w:hAnsi="Calibri" w:cs="Calibri"/>
              </w:rPr>
              <w:t>0.413</w:t>
            </w:r>
          </w:p>
        </w:tc>
        <w:tc>
          <w:tcPr>
            <w:tcW w:w="349" w:type="pct"/>
            <w:tcBorders>
              <w:top w:val="nil"/>
              <w:left w:val="nil"/>
              <w:bottom w:val="single" w:sz="4" w:space="0" w:color="auto"/>
              <w:right w:val="nil"/>
            </w:tcBorders>
          </w:tcPr>
          <w:p w14:paraId="72AB3949" w14:textId="77777777" w:rsidR="0069729B" w:rsidRPr="0069729B" w:rsidRDefault="0069729B" w:rsidP="00F0140C">
            <w:pPr>
              <w:widowControl w:val="0"/>
              <w:autoSpaceDE w:val="0"/>
              <w:autoSpaceDN w:val="0"/>
              <w:adjustRightInd w:val="0"/>
              <w:spacing w:after="0" w:line="240" w:lineRule="auto"/>
              <w:ind w:left="-57"/>
              <w:jc w:val="both"/>
              <w:rPr>
                <w:rFonts w:ascii="Calibri" w:hAnsi="Calibri" w:cs="Calibri"/>
              </w:rPr>
            </w:pPr>
            <w:r w:rsidRPr="0069729B">
              <w:rPr>
                <w:rFonts w:ascii="Calibri" w:hAnsi="Calibri" w:cs="Calibri"/>
              </w:rPr>
              <w:t>1.000</w:t>
            </w:r>
          </w:p>
        </w:tc>
      </w:tr>
    </w:tbl>
    <w:p w14:paraId="75144929" w14:textId="77777777" w:rsidR="0069729B" w:rsidRPr="00EB0F4E" w:rsidRDefault="0069729B" w:rsidP="0069729B">
      <w:pPr>
        <w:widowControl w:val="0"/>
        <w:autoSpaceDE w:val="0"/>
        <w:autoSpaceDN w:val="0"/>
        <w:adjustRightInd w:val="0"/>
        <w:spacing w:after="0" w:line="240" w:lineRule="auto"/>
        <w:jc w:val="both"/>
        <w:rPr>
          <w:rFonts w:ascii="Calibri" w:hAnsi="Calibri" w:cs="Calibri"/>
          <w:b/>
          <w:bCs/>
          <w:sz w:val="24"/>
          <w:szCs w:val="24"/>
        </w:rPr>
      </w:pPr>
    </w:p>
    <w:p w14:paraId="2647A408" w14:textId="77777777" w:rsidR="0069729B" w:rsidRPr="00EB0F4E" w:rsidRDefault="0069729B" w:rsidP="0069729B">
      <w:pPr>
        <w:widowControl w:val="0"/>
        <w:tabs>
          <w:tab w:val="left" w:pos="567"/>
        </w:tabs>
        <w:autoSpaceDE w:val="0"/>
        <w:autoSpaceDN w:val="0"/>
        <w:adjustRightInd w:val="0"/>
        <w:spacing w:after="0" w:line="240" w:lineRule="auto"/>
        <w:jc w:val="both"/>
        <w:rPr>
          <w:rFonts w:ascii="Calibri" w:hAnsi="Calibri" w:cs="Calibri"/>
          <w:sz w:val="24"/>
          <w:szCs w:val="24"/>
        </w:rPr>
      </w:pPr>
      <w:r w:rsidRPr="00EB0F4E">
        <w:rPr>
          <w:rFonts w:ascii="Calibri" w:hAnsi="Calibri" w:cs="Calibri"/>
          <w:b/>
          <w:bCs/>
          <w:sz w:val="24"/>
          <w:szCs w:val="24"/>
        </w:rPr>
        <w:tab/>
      </w:r>
      <w:r w:rsidRPr="00EB0F4E">
        <w:rPr>
          <w:rFonts w:ascii="Calibri" w:hAnsi="Calibri" w:cs="Calibri"/>
          <w:sz w:val="24"/>
          <w:szCs w:val="24"/>
        </w:rPr>
        <w:t>We perform our hypothesis testing with panel data regression analysis. All the regression models are performed with random effect as the best estimation. In model 1, we analyze the effect of board diversity on overall sustainability reporting disclosure. We find that board gender diversity demonstrates positive effect on sustainability reporting quality while national, age, and education exhibit no significant effect. As for bank ownership variables, we find the positive effect of foreign and government ownership while the effect of family ownership is insignificant.</w:t>
      </w:r>
    </w:p>
    <w:p w14:paraId="256C7D62" w14:textId="77777777" w:rsidR="0069729B" w:rsidRPr="00EB0F4E" w:rsidRDefault="0069729B" w:rsidP="0069729B">
      <w:pPr>
        <w:widowControl w:val="0"/>
        <w:autoSpaceDE w:val="0"/>
        <w:autoSpaceDN w:val="0"/>
        <w:adjustRightInd w:val="0"/>
        <w:spacing w:after="0" w:line="240" w:lineRule="auto"/>
        <w:jc w:val="both"/>
        <w:rPr>
          <w:rFonts w:ascii="Calibri" w:hAnsi="Calibri" w:cs="Calibri"/>
          <w:sz w:val="24"/>
          <w:szCs w:val="24"/>
        </w:rPr>
      </w:pPr>
    </w:p>
    <w:p w14:paraId="58D4C1AB" w14:textId="77777777" w:rsidR="0069729B" w:rsidRPr="0069729B" w:rsidRDefault="0069729B" w:rsidP="0069729B">
      <w:pPr>
        <w:widowControl w:val="0"/>
        <w:autoSpaceDE w:val="0"/>
        <w:autoSpaceDN w:val="0"/>
        <w:adjustRightInd w:val="0"/>
        <w:spacing w:after="0" w:line="240" w:lineRule="auto"/>
        <w:jc w:val="both"/>
        <w:rPr>
          <w:rFonts w:ascii="Calibri" w:hAnsi="Calibri" w:cs="Calibri"/>
          <w:sz w:val="24"/>
          <w:szCs w:val="24"/>
        </w:rPr>
      </w:pPr>
      <w:r w:rsidRPr="0069729B">
        <w:rPr>
          <w:rFonts w:ascii="Calibri" w:hAnsi="Calibri" w:cs="Calibri"/>
          <w:sz w:val="24"/>
          <w:szCs w:val="24"/>
        </w:rPr>
        <w:t>Table 4</w:t>
      </w:r>
    </w:p>
    <w:p w14:paraId="4E12CE1A" w14:textId="75169083" w:rsidR="0069729B" w:rsidRPr="0069729B" w:rsidRDefault="0069729B" w:rsidP="0069729B">
      <w:pPr>
        <w:widowControl w:val="0"/>
        <w:autoSpaceDE w:val="0"/>
        <w:autoSpaceDN w:val="0"/>
        <w:adjustRightInd w:val="0"/>
        <w:spacing w:after="0" w:line="240" w:lineRule="auto"/>
        <w:jc w:val="both"/>
        <w:rPr>
          <w:rFonts w:ascii="Calibri" w:hAnsi="Calibri" w:cs="Calibri"/>
          <w:i/>
          <w:iCs/>
          <w:sz w:val="24"/>
          <w:szCs w:val="24"/>
        </w:rPr>
      </w:pPr>
      <w:r w:rsidRPr="0069729B">
        <w:rPr>
          <w:rFonts w:ascii="Calibri" w:hAnsi="Calibri" w:cs="Calibri"/>
          <w:i/>
          <w:iCs/>
          <w:sz w:val="24"/>
          <w:szCs w:val="24"/>
        </w:rPr>
        <w:t>Panel Data Regression results</w:t>
      </w:r>
    </w:p>
    <w:tbl>
      <w:tblPr>
        <w:tblW w:w="5000" w:type="pct"/>
        <w:tblLook w:val="0000" w:firstRow="0" w:lastRow="0" w:firstColumn="0" w:lastColumn="0" w:noHBand="0" w:noVBand="0"/>
      </w:tblPr>
      <w:tblGrid>
        <w:gridCol w:w="2052"/>
        <w:gridCol w:w="729"/>
        <w:gridCol w:w="289"/>
        <w:gridCol w:w="1025"/>
        <w:gridCol w:w="130"/>
        <w:gridCol w:w="697"/>
        <w:gridCol w:w="930"/>
        <w:gridCol w:w="749"/>
        <w:gridCol w:w="489"/>
        <w:gridCol w:w="1238"/>
        <w:gridCol w:w="79"/>
        <w:gridCol w:w="540"/>
        <w:gridCol w:w="79"/>
      </w:tblGrid>
      <w:tr w:rsidR="0069729B" w:rsidRPr="0069729B" w14:paraId="06828249" w14:textId="77777777" w:rsidTr="0069729B">
        <w:trPr>
          <w:gridAfter w:val="1"/>
          <w:wAfter w:w="44" w:type="pct"/>
          <w:tblHeader/>
        </w:trPr>
        <w:tc>
          <w:tcPr>
            <w:tcW w:w="1136" w:type="pct"/>
            <w:tcBorders>
              <w:top w:val="single" w:sz="4" w:space="0" w:color="auto"/>
              <w:left w:val="nil"/>
              <w:bottom w:val="single" w:sz="8" w:space="0" w:color="auto"/>
              <w:right w:val="nil"/>
            </w:tcBorders>
            <w:vAlign w:val="center"/>
          </w:tcPr>
          <w:p w14:paraId="42798972" w14:textId="77777777" w:rsidR="0069729B" w:rsidRPr="0069729B" w:rsidRDefault="0069729B" w:rsidP="00F0140C">
            <w:pPr>
              <w:widowControl w:val="0"/>
              <w:autoSpaceDE w:val="0"/>
              <w:autoSpaceDN w:val="0"/>
              <w:adjustRightInd w:val="0"/>
              <w:spacing w:after="0" w:line="240" w:lineRule="auto"/>
              <w:jc w:val="both"/>
              <w:rPr>
                <w:rFonts w:ascii="Calibri" w:hAnsi="Calibri" w:cs="Calibri"/>
                <w:b/>
                <w:bCs/>
              </w:rPr>
            </w:pPr>
            <w:r w:rsidRPr="0069729B">
              <w:rPr>
                <w:rFonts w:ascii="Calibri" w:hAnsi="Calibri" w:cs="Calibri"/>
                <w:b/>
                <w:bCs/>
              </w:rPr>
              <w:t>GRI</w:t>
            </w:r>
          </w:p>
        </w:tc>
        <w:tc>
          <w:tcPr>
            <w:tcW w:w="564" w:type="pct"/>
            <w:gridSpan w:val="2"/>
            <w:tcBorders>
              <w:top w:val="single" w:sz="4" w:space="0" w:color="auto"/>
              <w:left w:val="nil"/>
              <w:bottom w:val="single" w:sz="8" w:space="0" w:color="auto"/>
              <w:right w:val="nil"/>
            </w:tcBorders>
            <w:vAlign w:val="center"/>
          </w:tcPr>
          <w:p w14:paraId="4B9AB7A0" w14:textId="77777777" w:rsidR="0069729B" w:rsidRPr="0069729B" w:rsidRDefault="0069729B" w:rsidP="00F0140C">
            <w:pPr>
              <w:widowControl w:val="0"/>
              <w:autoSpaceDE w:val="0"/>
              <w:autoSpaceDN w:val="0"/>
              <w:adjustRightInd w:val="0"/>
              <w:spacing w:after="0" w:line="240" w:lineRule="auto"/>
              <w:jc w:val="both"/>
              <w:rPr>
                <w:rFonts w:ascii="Calibri" w:hAnsi="Calibri" w:cs="Calibri"/>
                <w:b/>
                <w:bCs/>
              </w:rPr>
            </w:pPr>
            <w:r w:rsidRPr="0069729B">
              <w:rPr>
                <w:rFonts w:ascii="Calibri" w:hAnsi="Calibri" w:cs="Calibri"/>
                <w:b/>
                <w:bCs/>
              </w:rPr>
              <w:t>Coef.</w:t>
            </w:r>
          </w:p>
        </w:tc>
        <w:tc>
          <w:tcPr>
            <w:tcW w:w="568" w:type="pct"/>
            <w:tcBorders>
              <w:top w:val="single" w:sz="4" w:space="0" w:color="auto"/>
              <w:left w:val="nil"/>
              <w:bottom w:val="single" w:sz="8" w:space="0" w:color="auto"/>
              <w:right w:val="nil"/>
            </w:tcBorders>
            <w:vAlign w:val="center"/>
          </w:tcPr>
          <w:p w14:paraId="09834D78" w14:textId="77777777" w:rsidR="0069729B" w:rsidRPr="0069729B" w:rsidRDefault="0069729B" w:rsidP="00F0140C">
            <w:pPr>
              <w:widowControl w:val="0"/>
              <w:autoSpaceDE w:val="0"/>
              <w:autoSpaceDN w:val="0"/>
              <w:adjustRightInd w:val="0"/>
              <w:spacing w:after="0" w:line="240" w:lineRule="auto"/>
              <w:jc w:val="both"/>
              <w:rPr>
                <w:rFonts w:ascii="Calibri" w:hAnsi="Calibri" w:cs="Calibri"/>
                <w:b/>
                <w:bCs/>
              </w:rPr>
            </w:pPr>
            <w:proofErr w:type="spellStart"/>
            <w:proofErr w:type="gramStart"/>
            <w:r w:rsidRPr="0069729B">
              <w:rPr>
                <w:rFonts w:ascii="Calibri" w:hAnsi="Calibri" w:cs="Calibri"/>
                <w:b/>
                <w:bCs/>
              </w:rPr>
              <w:t>St.Err</w:t>
            </w:r>
            <w:proofErr w:type="spellEnd"/>
            <w:proofErr w:type="gramEnd"/>
            <w:r w:rsidRPr="0069729B">
              <w:rPr>
                <w:rFonts w:ascii="Calibri" w:hAnsi="Calibri" w:cs="Calibri"/>
                <w:b/>
                <w:bCs/>
              </w:rPr>
              <w:t>.</w:t>
            </w:r>
          </w:p>
        </w:tc>
        <w:tc>
          <w:tcPr>
            <w:tcW w:w="458" w:type="pct"/>
            <w:gridSpan w:val="2"/>
            <w:tcBorders>
              <w:top w:val="single" w:sz="4" w:space="0" w:color="auto"/>
              <w:left w:val="nil"/>
              <w:bottom w:val="single" w:sz="8" w:space="0" w:color="auto"/>
              <w:right w:val="nil"/>
            </w:tcBorders>
            <w:vAlign w:val="center"/>
          </w:tcPr>
          <w:p w14:paraId="0D3FADFE" w14:textId="77777777" w:rsidR="0069729B" w:rsidRPr="0069729B" w:rsidRDefault="0069729B" w:rsidP="00F0140C">
            <w:pPr>
              <w:widowControl w:val="0"/>
              <w:autoSpaceDE w:val="0"/>
              <w:autoSpaceDN w:val="0"/>
              <w:adjustRightInd w:val="0"/>
              <w:spacing w:after="0" w:line="240" w:lineRule="auto"/>
              <w:ind w:right="-220"/>
              <w:jc w:val="both"/>
              <w:rPr>
                <w:rFonts w:ascii="Calibri" w:hAnsi="Calibri" w:cs="Calibri"/>
                <w:b/>
                <w:bCs/>
              </w:rPr>
            </w:pPr>
            <w:r w:rsidRPr="0069729B">
              <w:rPr>
                <w:rFonts w:ascii="Calibri" w:hAnsi="Calibri" w:cs="Calibri"/>
                <w:b/>
                <w:bCs/>
              </w:rPr>
              <w:t>t-value</w:t>
            </w:r>
          </w:p>
        </w:tc>
        <w:tc>
          <w:tcPr>
            <w:tcW w:w="515" w:type="pct"/>
            <w:tcBorders>
              <w:top w:val="single" w:sz="4" w:space="0" w:color="auto"/>
              <w:left w:val="nil"/>
              <w:bottom w:val="single" w:sz="8" w:space="0" w:color="auto"/>
              <w:right w:val="nil"/>
            </w:tcBorders>
            <w:vAlign w:val="center"/>
          </w:tcPr>
          <w:p w14:paraId="5F02A1FE" w14:textId="77777777" w:rsidR="0069729B" w:rsidRPr="0069729B" w:rsidRDefault="0069729B" w:rsidP="00F0140C">
            <w:pPr>
              <w:widowControl w:val="0"/>
              <w:autoSpaceDE w:val="0"/>
              <w:autoSpaceDN w:val="0"/>
              <w:adjustRightInd w:val="0"/>
              <w:spacing w:after="0" w:line="240" w:lineRule="auto"/>
              <w:jc w:val="both"/>
              <w:rPr>
                <w:rFonts w:ascii="Calibri" w:hAnsi="Calibri" w:cs="Calibri"/>
                <w:b/>
                <w:bCs/>
              </w:rPr>
            </w:pPr>
            <w:r w:rsidRPr="0069729B">
              <w:rPr>
                <w:rFonts w:ascii="Calibri" w:hAnsi="Calibri" w:cs="Calibri"/>
                <w:b/>
                <w:bCs/>
              </w:rPr>
              <w:t>p-value</w:t>
            </w:r>
          </w:p>
        </w:tc>
        <w:tc>
          <w:tcPr>
            <w:tcW w:w="686" w:type="pct"/>
            <w:gridSpan w:val="2"/>
            <w:tcBorders>
              <w:top w:val="single" w:sz="4" w:space="0" w:color="auto"/>
              <w:left w:val="nil"/>
              <w:bottom w:val="single" w:sz="8" w:space="0" w:color="auto"/>
              <w:right w:val="nil"/>
            </w:tcBorders>
            <w:vAlign w:val="center"/>
          </w:tcPr>
          <w:p w14:paraId="030D7A60" w14:textId="77777777" w:rsidR="0069729B" w:rsidRPr="0069729B" w:rsidRDefault="0069729B" w:rsidP="00F0140C">
            <w:pPr>
              <w:widowControl w:val="0"/>
              <w:autoSpaceDE w:val="0"/>
              <w:autoSpaceDN w:val="0"/>
              <w:adjustRightInd w:val="0"/>
              <w:spacing w:after="0" w:line="240" w:lineRule="auto"/>
              <w:jc w:val="both"/>
              <w:rPr>
                <w:rFonts w:ascii="Calibri" w:hAnsi="Calibri" w:cs="Calibri"/>
                <w:b/>
                <w:bCs/>
              </w:rPr>
            </w:pPr>
            <w:r w:rsidRPr="0069729B">
              <w:rPr>
                <w:rFonts w:ascii="Calibri" w:hAnsi="Calibri" w:cs="Calibri"/>
                <w:b/>
                <w:bCs/>
              </w:rPr>
              <w:t>[95% Conf</w:t>
            </w:r>
          </w:p>
        </w:tc>
        <w:tc>
          <w:tcPr>
            <w:tcW w:w="686" w:type="pct"/>
            <w:tcBorders>
              <w:top w:val="single" w:sz="4" w:space="0" w:color="auto"/>
              <w:left w:val="nil"/>
              <w:bottom w:val="single" w:sz="8" w:space="0" w:color="auto"/>
              <w:right w:val="nil"/>
            </w:tcBorders>
            <w:vAlign w:val="center"/>
          </w:tcPr>
          <w:p w14:paraId="371C53F9" w14:textId="77777777" w:rsidR="0069729B" w:rsidRPr="0069729B" w:rsidRDefault="0069729B" w:rsidP="00F0140C">
            <w:pPr>
              <w:widowControl w:val="0"/>
              <w:autoSpaceDE w:val="0"/>
              <w:autoSpaceDN w:val="0"/>
              <w:adjustRightInd w:val="0"/>
              <w:spacing w:after="0" w:line="240" w:lineRule="auto"/>
              <w:jc w:val="both"/>
              <w:rPr>
                <w:rFonts w:ascii="Calibri" w:hAnsi="Calibri" w:cs="Calibri"/>
                <w:b/>
                <w:bCs/>
              </w:rPr>
            </w:pPr>
            <w:r w:rsidRPr="0069729B">
              <w:rPr>
                <w:rFonts w:ascii="Calibri" w:hAnsi="Calibri" w:cs="Calibri"/>
                <w:b/>
                <w:bCs/>
              </w:rPr>
              <w:t>Interval]</w:t>
            </w:r>
          </w:p>
        </w:tc>
        <w:tc>
          <w:tcPr>
            <w:tcW w:w="343" w:type="pct"/>
            <w:gridSpan w:val="2"/>
            <w:tcBorders>
              <w:top w:val="single" w:sz="4" w:space="0" w:color="auto"/>
              <w:left w:val="nil"/>
              <w:bottom w:val="single" w:sz="8" w:space="0" w:color="auto"/>
              <w:right w:val="nil"/>
            </w:tcBorders>
            <w:vAlign w:val="center"/>
          </w:tcPr>
          <w:p w14:paraId="54CE398C" w14:textId="77777777" w:rsidR="0069729B" w:rsidRPr="0069729B" w:rsidRDefault="0069729B" w:rsidP="00F0140C">
            <w:pPr>
              <w:widowControl w:val="0"/>
              <w:autoSpaceDE w:val="0"/>
              <w:autoSpaceDN w:val="0"/>
              <w:adjustRightInd w:val="0"/>
              <w:spacing w:after="0" w:line="240" w:lineRule="auto"/>
              <w:jc w:val="both"/>
              <w:rPr>
                <w:rFonts w:ascii="Calibri" w:hAnsi="Calibri" w:cs="Calibri"/>
                <w:b/>
                <w:bCs/>
              </w:rPr>
            </w:pPr>
            <w:r w:rsidRPr="0069729B">
              <w:rPr>
                <w:rFonts w:ascii="Calibri" w:hAnsi="Calibri" w:cs="Calibri"/>
                <w:b/>
                <w:bCs/>
              </w:rPr>
              <w:t>Sig</w:t>
            </w:r>
          </w:p>
        </w:tc>
      </w:tr>
      <w:tr w:rsidR="0069729B" w:rsidRPr="0069729B" w14:paraId="0B91A5E3" w14:textId="77777777" w:rsidTr="0069729B">
        <w:trPr>
          <w:gridAfter w:val="1"/>
          <w:wAfter w:w="44" w:type="pct"/>
        </w:trPr>
        <w:tc>
          <w:tcPr>
            <w:tcW w:w="1136" w:type="pct"/>
            <w:tcBorders>
              <w:top w:val="nil"/>
              <w:left w:val="nil"/>
              <w:bottom w:val="nil"/>
              <w:right w:val="nil"/>
            </w:tcBorders>
          </w:tcPr>
          <w:p w14:paraId="57CCD680"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BLAU_GENDER</w:t>
            </w:r>
          </w:p>
        </w:tc>
        <w:tc>
          <w:tcPr>
            <w:tcW w:w="564" w:type="pct"/>
            <w:gridSpan w:val="2"/>
            <w:tcBorders>
              <w:top w:val="nil"/>
              <w:left w:val="nil"/>
              <w:bottom w:val="nil"/>
              <w:right w:val="nil"/>
            </w:tcBorders>
          </w:tcPr>
          <w:p w14:paraId="684DDE3D"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0.178</w:t>
            </w:r>
          </w:p>
        </w:tc>
        <w:tc>
          <w:tcPr>
            <w:tcW w:w="568" w:type="pct"/>
            <w:tcBorders>
              <w:top w:val="nil"/>
              <w:left w:val="nil"/>
              <w:bottom w:val="nil"/>
              <w:right w:val="nil"/>
            </w:tcBorders>
          </w:tcPr>
          <w:p w14:paraId="0E53C007"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0.059</w:t>
            </w:r>
          </w:p>
        </w:tc>
        <w:tc>
          <w:tcPr>
            <w:tcW w:w="458" w:type="pct"/>
            <w:gridSpan w:val="2"/>
            <w:tcBorders>
              <w:top w:val="nil"/>
              <w:left w:val="nil"/>
              <w:bottom w:val="nil"/>
              <w:right w:val="nil"/>
            </w:tcBorders>
          </w:tcPr>
          <w:p w14:paraId="3DFA754E"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3.02</w:t>
            </w:r>
          </w:p>
        </w:tc>
        <w:tc>
          <w:tcPr>
            <w:tcW w:w="515" w:type="pct"/>
            <w:tcBorders>
              <w:top w:val="nil"/>
              <w:left w:val="nil"/>
              <w:bottom w:val="nil"/>
              <w:right w:val="nil"/>
            </w:tcBorders>
          </w:tcPr>
          <w:p w14:paraId="4C7303FB"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0.003</w:t>
            </w:r>
          </w:p>
        </w:tc>
        <w:tc>
          <w:tcPr>
            <w:tcW w:w="686" w:type="pct"/>
            <w:gridSpan w:val="2"/>
            <w:tcBorders>
              <w:top w:val="nil"/>
              <w:left w:val="nil"/>
              <w:bottom w:val="nil"/>
              <w:right w:val="nil"/>
            </w:tcBorders>
          </w:tcPr>
          <w:p w14:paraId="736C9B6F"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0.063</w:t>
            </w:r>
          </w:p>
        </w:tc>
        <w:tc>
          <w:tcPr>
            <w:tcW w:w="686" w:type="pct"/>
            <w:tcBorders>
              <w:top w:val="nil"/>
              <w:left w:val="nil"/>
              <w:bottom w:val="nil"/>
              <w:right w:val="nil"/>
            </w:tcBorders>
          </w:tcPr>
          <w:p w14:paraId="2893D6B4"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0.294</w:t>
            </w:r>
          </w:p>
        </w:tc>
        <w:tc>
          <w:tcPr>
            <w:tcW w:w="343" w:type="pct"/>
            <w:gridSpan w:val="2"/>
            <w:tcBorders>
              <w:top w:val="nil"/>
              <w:left w:val="nil"/>
              <w:bottom w:val="nil"/>
              <w:right w:val="nil"/>
            </w:tcBorders>
          </w:tcPr>
          <w:p w14:paraId="4AA08817"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w:t>
            </w:r>
          </w:p>
        </w:tc>
      </w:tr>
      <w:tr w:rsidR="0069729B" w:rsidRPr="0069729B" w14:paraId="1212F2C0" w14:textId="77777777" w:rsidTr="0069729B">
        <w:trPr>
          <w:gridAfter w:val="1"/>
          <w:wAfter w:w="44" w:type="pct"/>
        </w:trPr>
        <w:tc>
          <w:tcPr>
            <w:tcW w:w="1136" w:type="pct"/>
            <w:tcBorders>
              <w:top w:val="nil"/>
              <w:left w:val="nil"/>
              <w:bottom w:val="nil"/>
              <w:right w:val="nil"/>
            </w:tcBorders>
          </w:tcPr>
          <w:p w14:paraId="6D95AC89"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BLAU_NAT</w:t>
            </w:r>
          </w:p>
        </w:tc>
        <w:tc>
          <w:tcPr>
            <w:tcW w:w="564" w:type="pct"/>
            <w:gridSpan w:val="2"/>
            <w:tcBorders>
              <w:top w:val="nil"/>
              <w:left w:val="nil"/>
              <w:bottom w:val="nil"/>
              <w:right w:val="nil"/>
            </w:tcBorders>
          </w:tcPr>
          <w:p w14:paraId="2208F104"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-0.124</w:t>
            </w:r>
          </w:p>
        </w:tc>
        <w:tc>
          <w:tcPr>
            <w:tcW w:w="568" w:type="pct"/>
            <w:tcBorders>
              <w:top w:val="nil"/>
              <w:left w:val="nil"/>
              <w:bottom w:val="nil"/>
              <w:right w:val="nil"/>
            </w:tcBorders>
          </w:tcPr>
          <w:p w14:paraId="4C12F9FF"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0.084</w:t>
            </w:r>
          </w:p>
        </w:tc>
        <w:tc>
          <w:tcPr>
            <w:tcW w:w="458" w:type="pct"/>
            <w:gridSpan w:val="2"/>
            <w:tcBorders>
              <w:top w:val="nil"/>
              <w:left w:val="nil"/>
              <w:bottom w:val="nil"/>
              <w:right w:val="nil"/>
            </w:tcBorders>
          </w:tcPr>
          <w:p w14:paraId="0F0D99C9"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-1.47</w:t>
            </w:r>
          </w:p>
        </w:tc>
        <w:tc>
          <w:tcPr>
            <w:tcW w:w="515" w:type="pct"/>
            <w:tcBorders>
              <w:top w:val="nil"/>
              <w:left w:val="nil"/>
              <w:bottom w:val="nil"/>
              <w:right w:val="nil"/>
            </w:tcBorders>
          </w:tcPr>
          <w:p w14:paraId="17D167F3"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0.142</w:t>
            </w:r>
          </w:p>
        </w:tc>
        <w:tc>
          <w:tcPr>
            <w:tcW w:w="686" w:type="pct"/>
            <w:gridSpan w:val="2"/>
            <w:tcBorders>
              <w:top w:val="nil"/>
              <w:left w:val="nil"/>
              <w:bottom w:val="nil"/>
              <w:right w:val="nil"/>
            </w:tcBorders>
          </w:tcPr>
          <w:p w14:paraId="578D8408"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-0.289</w:t>
            </w:r>
          </w:p>
        </w:tc>
        <w:tc>
          <w:tcPr>
            <w:tcW w:w="686" w:type="pct"/>
            <w:tcBorders>
              <w:top w:val="nil"/>
              <w:left w:val="nil"/>
              <w:bottom w:val="nil"/>
              <w:right w:val="nil"/>
            </w:tcBorders>
          </w:tcPr>
          <w:p w14:paraId="6B0F0DEE"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0.042</w:t>
            </w:r>
          </w:p>
        </w:tc>
        <w:tc>
          <w:tcPr>
            <w:tcW w:w="343" w:type="pct"/>
            <w:gridSpan w:val="2"/>
            <w:tcBorders>
              <w:top w:val="nil"/>
              <w:left w:val="nil"/>
              <w:bottom w:val="nil"/>
              <w:right w:val="nil"/>
            </w:tcBorders>
          </w:tcPr>
          <w:p w14:paraId="3B965A4C"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p>
        </w:tc>
      </w:tr>
      <w:tr w:rsidR="0069729B" w:rsidRPr="0069729B" w14:paraId="5F966CE6" w14:textId="77777777" w:rsidTr="0069729B">
        <w:trPr>
          <w:gridAfter w:val="1"/>
          <w:wAfter w:w="44" w:type="pct"/>
        </w:trPr>
        <w:tc>
          <w:tcPr>
            <w:tcW w:w="1136" w:type="pct"/>
            <w:tcBorders>
              <w:top w:val="nil"/>
              <w:left w:val="nil"/>
              <w:bottom w:val="nil"/>
              <w:right w:val="nil"/>
            </w:tcBorders>
          </w:tcPr>
          <w:p w14:paraId="7BF75AC1"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BLAU_AGE</w:t>
            </w:r>
          </w:p>
        </w:tc>
        <w:tc>
          <w:tcPr>
            <w:tcW w:w="564" w:type="pct"/>
            <w:gridSpan w:val="2"/>
            <w:tcBorders>
              <w:top w:val="nil"/>
              <w:left w:val="nil"/>
              <w:bottom w:val="nil"/>
              <w:right w:val="nil"/>
            </w:tcBorders>
          </w:tcPr>
          <w:p w14:paraId="5B61A85B"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0.051</w:t>
            </w:r>
          </w:p>
        </w:tc>
        <w:tc>
          <w:tcPr>
            <w:tcW w:w="568" w:type="pct"/>
            <w:tcBorders>
              <w:top w:val="nil"/>
              <w:left w:val="nil"/>
              <w:bottom w:val="nil"/>
              <w:right w:val="nil"/>
            </w:tcBorders>
          </w:tcPr>
          <w:p w14:paraId="4C8489D8"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0.041</w:t>
            </w:r>
          </w:p>
        </w:tc>
        <w:tc>
          <w:tcPr>
            <w:tcW w:w="458" w:type="pct"/>
            <w:gridSpan w:val="2"/>
            <w:tcBorders>
              <w:top w:val="nil"/>
              <w:left w:val="nil"/>
              <w:bottom w:val="nil"/>
              <w:right w:val="nil"/>
            </w:tcBorders>
          </w:tcPr>
          <w:p w14:paraId="13A8F4B2"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1.25</w:t>
            </w:r>
          </w:p>
        </w:tc>
        <w:tc>
          <w:tcPr>
            <w:tcW w:w="515" w:type="pct"/>
            <w:tcBorders>
              <w:top w:val="nil"/>
              <w:left w:val="nil"/>
              <w:bottom w:val="nil"/>
              <w:right w:val="nil"/>
            </w:tcBorders>
          </w:tcPr>
          <w:p w14:paraId="53C0003E"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0.212</w:t>
            </w:r>
          </w:p>
        </w:tc>
        <w:tc>
          <w:tcPr>
            <w:tcW w:w="686" w:type="pct"/>
            <w:gridSpan w:val="2"/>
            <w:tcBorders>
              <w:top w:val="nil"/>
              <w:left w:val="nil"/>
              <w:bottom w:val="nil"/>
              <w:right w:val="nil"/>
            </w:tcBorders>
          </w:tcPr>
          <w:p w14:paraId="07D6317B"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-0.029</w:t>
            </w:r>
          </w:p>
        </w:tc>
        <w:tc>
          <w:tcPr>
            <w:tcW w:w="686" w:type="pct"/>
            <w:tcBorders>
              <w:top w:val="nil"/>
              <w:left w:val="nil"/>
              <w:bottom w:val="nil"/>
              <w:right w:val="nil"/>
            </w:tcBorders>
          </w:tcPr>
          <w:p w14:paraId="3F34DED3"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0.130</w:t>
            </w:r>
          </w:p>
        </w:tc>
        <w:tc>
          <w:tcPr>
            <w:tcW w:w="343" w:type="pct"/>
            <w:gridSpan w:val="2"/>
            <w:tcBorders>
              <w:top w:val="nil"/>
              <w:left w:val="nil"/>
              <w:bottom w:val="nil"/>
              <w:right w:val="nil"/>
            </w:tcBorders>
          </w:tcPr>
          <w:p w14:paraId="6A5525C2"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p>
        </w:tc>
      </w:tr>
      <w:tr w:rsidR="0069729B" w:rsidRPr="0069729B" w14:paraId="535BC084" w14:textId="77777777" w:rsidTr="0069729B">
        <w:trPr>
          <w:gridAfter w:val="1"/>
          <w:wAfter w:w="44" w:type="pct"/>
        </w:trPr>
        <w:tc>
          <w:tcPr>
            <w:tcW w:w="1136" w:type="pct"/>
            <w:tcBorders>
              <w:top w:val="nil"/>
              <w:left w:val="nil"/>
              <w:bottom w:val="nil"/>
              <w:right w:val="nil"/>
            </w:tcBorders>
          </w:tcPr>
          <w:p w14:paraId="28DCA333"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BLAU_EDU</w:t>
            </w:r>
          </w:p>
        </w:tc>
        <w:tc>
          <w:tcPr>
            <w:tcW w:w="564" w:type="pct"/>
            <w:gridSpan w:val="2"/>
            <w:tcBorders>
              <w:top w:val="nil"/>
              <w:left w:val="nil"/>
              <w:bottom w:val="nil"/>
              <w:right w:val="nil"/>
            </w:tcBorders>
          </w:tcPr>
          <w:p w14:paraId="336DA7BB"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0.035</w:t>
            </w:r>
          </w:p>
        </w:tc>
        <w:tc>
          <w:tcPr>
            <w:tcW w:w="568" w:type="pct"/>
            <w:tcBorders>
              <w:top w:val="nil"/>
              <w:left w:val="nil"/>
              <w:bottom w:val="nil"/>
              <w:right w:val="nil"/>
            </w:tcBorders>
          </w:tcPr>
          <w:p w14:paraId="10C8805C"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0.037</w:t>
            </w:r>
          </w:p>
        </w:tc>
        <w:tc>
          <w:tcPr>
            <w:tcW w:w="458" w:type="pct"/>
            <w:gridSpan w:val="2"/>
            <w:tcBorders>
              <w:top w:val="nil"/>
              <w:left w:val="nil"/>
              <w:bottom w:val="nil"/>
              <w:right w:val="nil"/>
            </w:tcBorders>
          </w:tcPr>
          <w:p w14:paraId="76F11193"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-0.96</w:t>
            </w:r>
          </w:p>
        </w:tc>
        <w:tc>
          <w:tcPr>
            <w:tcW w:w="515" w:type="pct"/>
            <w:tcBorders>
              <w:top w:val="nil"/>
              <w:left w:val="nil"/>
              <w:bottom w:val="nil"/>
              <w:right w:val="nil"/>
            </w:tcBorders>
          </w:tcPr>
          <w:p w14:paraId="193C3189"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0.337</w:t>
            </w:r>
          </w:p>
        </w:tc>
        <w:tc>
          <w:tcPr>
            <w:tcW w:w="686" w:type="pct"/>
            <w:gridSpan w:val="2"/>
            <w:tcBorders>
              <w:top w:val="nil"/>
              <w:left w:val="nil"/>
              <w:bottom w:val="nil"/>
              <w:right w:val="nil"/>
            </w:tcBorders>
          </w:tcPr>
          <w:p w14:paraId="3545156F"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-0.107</w:t>
            </w:r>
          </w:p>
        </w:tc>
        <w:tc>
          <w:tcPr>
            <w:tcW w:w="686" w:type="pct"/>
            <w:tcBorders>
              <w:top w:val="nil"/>
              <w:left w:val="nil"/>
              <w:bottom w:val="nil"/>
              <w:right w:val="nil"/>
            </w:tcBorders>
          </w:tcPr>
          <w:p w14:paraId="365413CC"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0.037</w:t>
            </w:r>
          </w:p>
        </w:tc>
        <w:tc>
          <w:tcPr>
            <w:tcW w:w="343" w:type="pct"/>
            <w:gridSpan w:val="2"/>
            <w:tcBorders>
              <w:top w:val="nil"/>
              <w:left w:val="nil"/>
              <w:bottom w:val="nil"/>
              <w:right w:val="nil"/>
            </w:tcBorders>
          </w:tcPr>
          <w:p w14:paraId="52885618"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p>
        </w:tc>
      </w:tr>
      <w:tr w:rsidR="0069729B" w:rsidRPr="0069729B" w14:paraId="41E739EE" w14:textId="77777777" w:rsidTr="0069729B">
        <w:trPr>
          <w:gridAfter w:val="1"/>
          <w:wAfter w:w="44" w:type="pct"/>
        </w:trPr>
        <w:tc>
          <w:tcPr>
            <w:tcW w:w="1136" w:type="pct"/>
            <w:tcBorders>
              <w:top w:val="nil"/>
              <w:left w:val="nil"/>
              <w:bottom w:val="nil"/>
              <w:right w:val="nil"/>
            </w:tcBorders>
          </w:tcPr>
          <w:p w14:paraId="01F57414"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FOR</w:t>
            </w:r>
          </w:p>
        </w:tc>
        <w:tc>
          <w:tcPr>
            <w:tcW w:w="564" w:type="pct"/>
            <w:gridSpan w:val="2"/>
            <w:tcBorders>
              <w:top w:val="nil"/>
              <w:left w:val="nil"/>
              <w:bottom w:val="nil"/>
              <w:right w:val="nil"/>
            </w:tcBorders>
          </w:tcPr>
          <w:p w14:paraId="4072DADD"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0.117</w:t>
            </w:r>
          </w:p>
        </w:tc>
        <w:tc>
          <w:tcPr>
            <w:tcW w:w="568" w:type="pct"/>
            <w:tcBorders>
              <w:top w:val="nil"/>
              <w:left w:val="nil"/>
              <w:bottom w:val="nil"/>
              <w:right w:val="nil"/>
            </w:tcBorders>
          </w:tcPr>
          <w:p w14:paraId="11432196"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0.063</w:t>
            </w:r>
          </w:p>
        </w:tc>
        <w:tc>
          <w:tcPr>
            <w:tcW w:w="458" w:type="pct"/>
            <w:gridSpan w:val="2"/>
            <w:tcBorders>
              <w:top w:val="nil"/>
              <w:left w:val="nil"/>
              <w:bottom w:val="nil"/>
              <w:right w:val="nil"/>
            </w:tcBorders>
          </w:tcPr>
          <w:p w14:paraId="576C450B"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1.86</w:t>
            </w:r>
          </w:p>
        </w:tc>
        <w:tc>
          <w:tcPr>
            <w:tcW w:w="515" w:type="pct"/>
            <w:tcBorders>
              <w:top w:val="nil"/>
              <w:left w:val="nil"/>
              <w:bottom w:val="nil"/>
              <w:right w:val="nil"/>
            </w:tcBorders>
          </w:tcPr>
          <w:p w14:paraId="6FA190C2"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0.046</w:t>
            </w:r>
          </w:p>
        </w:tc>
        <w:tc>
          <w:tcPr>
            <w:tcW w:w="686" w:type="pct"/>
            <w:gridSpan w:val="2"/>
            <w:tcBorders>
              <w:top w:val="nil"/>
              <w:left w:val="nil"/>
              <w:bottom w:val="nil"/>
              <w:right w:val="nil"/>
            </w:tcBorders>
          </w:tcPr>
          <w:p w14:paraId="243B538C"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-0.006</w:t>
            </w:r>
          </w:p>
        </w:tc>
        <w:tc>
          <w:tcPr>
            <w:tcW w:w="686" w:type="pct"/>
            <w:tcBorders>
              <w:top w:val="nil"/>
              <w:left w:val="nil"/>
              <w:bottom w:val="nil"/>
              <w:right w:val="nil"/>
            </w:tcBorders>
          </w:tcPr>
          <w:p w14:paraId="1300D916"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0.240</w:t>
            </w:r>
          </w:p>
        </w:tc>
        <w:tc>
          <w:tcPr>
            <w:tcW w:w="343" w:type="pct"/>
            <w:gridSpan w:val="2"/>
            <w:tcBorders>
              <w:top w:val="nil"/>
              <w:left w:val="nil"/>
              <w:bottom w:val="nil"/>
              <w:right w:val="nil"/>
            </w:tcBorders>
          </w:tcPr>
          <w:p w14:paraId="2294CF73"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w:t>
            </w:r>
          </w:p>
        </w:tc>
      </w:tr>
      <w:tr w:rsidR="0069729B" w:rsidRPr="0069729B" w14:paraId="7E2C0CA4" w14:textId="77777777" w:rsidTr="0069729B">
        <w:trPr>
          <w:gridAfter w:val="1"/>
          <w:wAfter w:w="44" w:type="pct"/>
        </w:trPr>
        <w:tc>
          <w:tcPr>
            <w:tcW w:w="1136" w:type="pct"/>
            <w:tcBorders>
              <w:top w:val="nil"/>
              <w:left w:val="nil"/>
              <w:bottom w:val="nil"/>
              <w:right w:val="nil"/>
            </w:tcBorders>
          </w:tcPr>
          <w:p w14:paraId="5EA6406B"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FAM</w:t>
            </w:r>
          </w:p>
        </w:tc>
        <w:tc>
          <w:tcPr>
            <w:tcW w:w="564" w:type="pct"/>
            <w:gridSpan w:val="2"/>
            <w:tcBorders>
              <w:top w:val="nil"/>
              <w:left w:val="nil"/>
              <w:bottom w:val="nil"/>
              <w:right w:val="nil"/>
            </w:tcBorders>
          </w:tcPr>
          <w:p w14:paraId="2B02245C"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0.094</w:t>
            </w:r>
          </w:p>
        </w:tc>
        <w:tc>
          <w:tcPr>
            <w:tcW w:w="568" w:type="pct"/>
            <w:tcBorders>
              <w:top w:val="nil"/>
              <w:left w:val="nil"/>
              <w:bottom w:val="nil"/>
              <w:right w:val="nil"/>
            </w:tcBorders>
          </w:tcPr>
          <w:p w14:paraId="0C39AEF3"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0.071</w:t>
            </w:r>
          </w:p>
        </w:tc>
        <w:tc>
          <w:tcPr>
            <w:tcW w:w="458" w:type="pct"/>
            <w:gridSpan w:val="2"/>
            <w:tcBorders>
              <w:top w:val="nil"/>
              <w:left w:val="nil"/>
              <w:bottom w:val="nil"/>
              <w:right w:val="nil"/>
            </w:tcBorders>
          </w:tcPr>
          <w:p w14:paraId="1BF9455F"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1.32</w:t>
            </w:r>
          </w:p>
        </w:tc>
        <w:tc>
          <w:tcPr>
            <w:tcW w:w="515" w:type="pct"/>
            <w:tcBorders>
              <w:top w:val="nil"/>
              <w:left w:val="nil"/>
              <w:bottom w:val="nil"/>
              <w:right w:val="nil"/>
            </w:tcBorders>
          </w:tcPr>
          <w:p w14:paraId="44E6FD9E"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0.186</w:t>
            </w:r>
          </w:p>
        </w:tc>
        <w:tc>
          <w:tcPr>
            <w:tcW w:w="686" w:type="pct"/>
            <w:gridSpan w:val="2"/>
            <w:tcBorders>
              <w:top w:val="nil"/>
              <w:left w:val="nil"/>
              <w:bottom w:val="nil"/>
              <w:right w:val="nil"/>
            </w:tcBorders>
          </w:tcPr>
          <w:p w14:paraId="6C9C6166"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-0.045</w:t>
            </w:r>
          </w:p>
        </w:tc>
        <w:tc>
          <w:tcPr>
            <w:tcW w:w="686" w:type="pct"/>
            <w:tcBorders>
              <w:top w:val="nil"/>
              <w:left w:val="nil"/>
              <w:bottom w:val="nil"/>
              <w:right w:val="nil"/>
            </w:tcBorders>
          </w:tcPr>
          <w:p w14:paraId="46517F70"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0.233</w:t>
            </w:r>
          </w:p>
        </w:tc>
        <w:tc>
          <w:tcPr>
            <w:tcW w:w="343" w:type="pct"/>
            <w:gridSpan w:val="2"/>
            <w:tcBorders>
              <w:top w:val="nil"/>
              <w:left w:val="nil"/>
              <w:bottom w:val="nil"/>
              <w:right w:val="nil"/>
            </w:tcBorders>
          </w:tcPr>
          <w:p w14:paraId="3F92CF6B"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p>
        </w:tc>
      </w:tr>
      <w:tr w:rsidR="0069729B" w:rsidRPr="0069729B" w14:paraId="071EA5F8" w14:textId="77777777" w:rsidTr="0069729B">
        <w:trPr>
          <w:gridAfter w:val="1"/>
          <w:wAfter w:w="44" w:type="pct"/>
        </w:trPr>
        <w:tc>
          <w:tcPr>
            <w:tcW w:w="1136" w:type="pct"/>
            <w:tcBorders>
              <w:top w:val="nil"/>
              <w:left w:val="nil"/>
              <w:bottom w:val="nil"/>
              <w:right w:val="nil"/>
            </w:tcBorders>
          </w:tcPr>
          <w:p w14:paraId="7AEDE86F"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GOV</w:t>
            </w:r>
          </w:p>
        </w:tc>
        <w:tc>
          <w:tcPr>
            <w:tcW w:w="564" w:type="pct"/>
            <w:gridSpan w:val="2"/>
            <w:tcBorders>
              <w:top w:val="nil"/>
              <w:left w:val="nil"/>
              <w:bottom w:val="nil"/>
              <w:right w:val="nil"/>
            </w:tcBorders>
          </w:tcPr>
          <w:p w14:paraId="13FAEA14"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0.269</w:t>
            </w:r>
          </w:p>
        </w:tc>
        <w:tc>
          <w:tcPr>
            <w:tcW w:w="568" w:type="pct"/>
            <w:tcBorders>
              <w:top w:val="nil"/>
              <w:left w:val="nil"/>
              <w:bottom w:val="nil"/>
              <w:right w:val="nil"/>
            </w:tcBorders>
          </w:tcPr>
          <w:p w14:paraId="1BF2CF91"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0.091</w:t>
            </w:r>
          </w:p>
        </w:tc>
        <w:tc>
          <w:tcPr>
            <w:tcW w:w="458" w:type="pct"/>
            <w:gridSpan w:val="2"/>
            <w:tcBorders>
              <w:top w:val="nil"/>
              <w:left w:val="nil"/>
              <w:bottom w:val="nil"/>
              <w:right w:val="nil"/>
            </w:tcBorders>
          </w:tcPr>
          <w:p w14:paraId="4D11C065"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2.96</w:t>
            </w:r>
          </w:p>
        </w:tc>
        <w:tc>
          <w:tcPr>
            <w:tcW w:w="515" w:type="pct"/>
            <w:tcBorders>
              <w:top w:val="nil"/>
              <w:left w:val="nil"/>
              <w:bottom w:val="nil"/>
              <w:right w:val="nil"/>
            </w:tcBorders>
          </w:tcPr>
          <w:p w14:paraId="3D0ED0E9"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0.003</w:t>
            </w:r>
          </w:p>
        </w:tc>
        <w:tc>
          <w:tcPr>
            <w:tcW w:w="686" w:type="pct"/>
            <w:gridSpan w:val="2"/>
            <w:tcBorders>
              <w:top w:val="nil"/>
              <w:left w:val="nil"/>
              <w:bottom w:val="nil"/>
              <w:right w:val="nil"/>
            </w:tcBorders>
          </w:tcPr>
          <w:p w14:paraId="7C715BE6"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0.091</w:t>
            </w:r>
          </w:p>
        </w:tc>
        <w:tc>
          <w:tcPr>
            <w:tcW w:w="686" w:type="pct"/>
            <w:tcBorders>
              <w:top w:val="nil"/>
              <w:left w:val="nil"/>
              <w:bottom w:val="nil"/>
              <w:right w:val="nil"/>
            </w:tcBorders>
          </w:tcPr>
          <w:p w14:paraId="23DF7DEB"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0.446</w:t>
            </w:r>
          </w:p>
        </w:tc>
        <w:tc>
          <w:tcPr>
            <w:tcW w:w="343" w:type="pct"/>
            <w:gridSpan w:val="2"/>
            <w:tcBorders>
              <w:top w:val="nil"/>
              <w:left w:val="nil"/>
              <w:bottom w:val="nil"/>
              <w:right w:val="nil"/>
            </w:tcBorders>
          </w:tcPr>
          <w:p w14:paraId="4FEE617C"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w:t>
            </w:r>
          </w:p>
        </w:tc>
      </w:tr>
      <w:tr w:rsidR="0069729B" w:rsidRPr="0069729B" w14:paraId="28A600E7" w14:textId="77777777" w:rsidTr="0069729B">
        <w:trPr>
          <w:gridAfter w:val="1"/>
          <w:wAfter w:w="44" w:type="pct"/>
        </w:trPr>
        <w:tc>
          <w:tcPr>
            <w:tcW w:w="1136" w:type="pct"/>
            <w:tcBorders>
              <w:top w:val="nil"/>
              <w:left w:val="nil"/>
              <w:bottom w:val="nil"/>
              <w:right w:val="nil"/>
            </w:tcBorders>
          </w:tcPr>
          <w:p w14:paraId="3DD1DF5B"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ROA</w:t>
            </w:r>
          </w:p>
        </w:tc>
        <w:tc>
          <w:tcPr>
            <w:tcW w:w="564" w:type="pct"/>
            <w:gridSpan w:val="2"/>
            <w:tcBorders>
              <w:top w:val="nil"/>
              <w:left w:val="nil"/>
              <w:bottom w:val="nil"/>
              <w:right w:val="nil"/>
            </w:tcBorders>
          </w:tcPr>
          <w:p w14:paraId="37726BBE"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-0.223</w:t>
            </w:r>
          </w:p>
        </w:tc>
        <w:tc>
          <w:tcPr>
            <w:tcW w:w="568" w:type="pct"/>
            <w:tcBorders>
              <w:top w:val="nil"/>
              <w:left w:val="nil"/>
              <w:bottom w:val="nil"/>
              <w:right w:val="nil"/>
            </w:tcBorders>
          </w:tcPr>
          <w:p w14:paraId="3B9C2F04"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0.321</w:t>
            </w:r>
          </w:p>
        </w:tc>
        <w:tc>
          <w:tcPr>
            <w:tcW w:w="458" w:type="pct"/>
            <w:gridSpan w:val="2"/>
            <w:tcBorders>
              <w:top w:val="nil"/>
              <w:left w:val="nil"/>
              <w:bottom w:val="nil"/>
              <w:right w:val="nil"/>
            </w:tcBorders>
          </w:tcPr>
          <w:p w14:paraId="71C481DE"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-0.69</w:t>
            </w:r>
          </w:p>
        </w:tc>
        <w:tc>
          <w:tcPr>
            <w:tcW w:w="515" w:type="pct"/>
            <w:tcBorders>
              <w:top w:val="nil"/>
              <w:left w:val="nil"/>
              <w:bottom w:val="nil"/>
              <w:right w:val="nil"/>
            </w:tcBorders>
          </w:tcPr>
          <w:p w14:paraId="1AB7248D"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0.488</w:t>
            </w:r>
          </w:p>
        </w:tc>
        <w:tc>
          <w:tcPr>
            <w:tcW w:w="686" w:type="pct"/>
            <w:gridSpan w:val="2"/>
            <w:tcBorders>
              <w:top w:val="nil"/>
              <w:left w:val="nil"/>
              <w:bottom w:val="nil"/>
              <w:right w:val="nil"/>
            </w:tcBorders>
          </w:tcPr>
          <w:p w14:paraId="7F01F548"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-0.853</w:t>
            </w:r>
          </w:p>
        </w:tc>
        <w:tc>
          <w:tcPr>
            <w:tcW w:w="686" w:type="pct"/>
            <w:tcBorders>
              <w:top w:val="nil"/>
              <w:left w:val="nil"/>
              <w:bottom w:val="nil"/>
              <w:right w:val="nil"/>
            </w:tcBorders>
          </w:tcPr>
          <w:p w14:paraId="092BD6FA"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0.407</w:t>
            </w:r>
          </w:p>
        </w:tc>
        <w:tc>
          <w:tcPr>
            <w:tcW w:w="343" w:type="pct"/>
            <w:gridSpan w:val="2"/>
            <w:tcBorders>
              <w:top w:val="nil"/>
              <w:left w:val="nil"/>
              <w:bottom w:val="nil"/>
              <w:right w:val="nil"/>
            </w:tcBorders>
          </w:tcPr>
          <w:p w14:paraId="71E2E632"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p>
        </w:tc>
      </w:tr>
      <w:tr w:rsidR="0069729B" w:rsidRPr="0069729B" w14:paraId="541D723A" w14:textId="77777777" w:rsidTr="0069729B">
        <w:trPr>
          <w:gridAfter w:val="1"/>
          <w:wAfter w:w="44" w:type="pct"/>
        </w:trPr>
        <w:tc>
          <w:tcPr>
            <w:tcW w:w="1136" w:type="pct"/>
            <w:tcBorders>
              <w:top w:val="nil"/>
              <w:left w:val="nil"/>
              <w:bottom w:val="nil"/>
              <w:right w:val="nil"/>
            </w:tcBorders>
          </w:tcPr>
          <w:p w14:paraId="037D77C3"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BOARDSIZE</w:t>
            </w:r>
          </w:p>
        </w:tc>
        <w:tc>
          <w:tcPr>
            <w:tcW w:w="564" w:type="pct"/>
            <w:gridSpan w:val="2"/>
            <w:tcBorders>
              <w:top w:val="nil"/>
              <w:left w:val="nil"/>
              <w:bottom w:val="nil"/>
              <w:right w:val="nil"/>
            </w:tcBorders>
          </w:tcPr>
          <w:p w14:paraId="7F681F25"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-0.011</w:t>
            </w:r>
          </w:p>
        </w:tc>
        <w:tc>
          <w:tcPr>
            <w:tcW w:w="568" w:type="pct"/>
            <w:tcBorders>
              <w:top w:val="nil"/>
              <w:left w:val="nil"/>
              <w:bottom w:val="nil"/>
              <w:right w:val="nil"/>
            </w:tcBorders>
          </w:tcPr>
          <w:p w14:paraId="587FCE31"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0.006</w:t>
            </w:r>
          </w:p>
        </w:tc>
        <w:tc>
          <w:tcPr>
            <w:tcW w:w="458" w:type="pct"/>
            <w:gridSpan w:val="2"/>
            <w:tcBorders>
              <w:top w:val="nil"/>
              <w:left w:val="nil"/>
              <w:bottom w:val="nil"/>
              <w:right w:val="nil"/>
            </w:tcBorders>
          </w:tcPr>
          <w:p w14:paraId="3A162277"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-1.98</w:t>
            </w:r>
          </w:p>
        </w:tc>
        <w:tc>
          <w:tcPr>
            <w:tcW w:w="515" w:type="pct"/>
            <w:tcBorders>
              <w:top w:val="nil"/>
              <w:left w:val="nil"/>
              <w:bottom w:val="nil"/>
              <w:right w:val="nil"/>
            </w:tcBorders>
          </w:tcPr>
          <w:p w14:paraId="7E3501F3"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0.048</w:t>
            </w:r>
          </w:p>
        </w:tc>
        <w:tc>
          <w:tcPr>
            <w:tcW w:w="686" w:type="pct"/>
            <w:gridSpan w:val="2"/>
            <w:tcBorders>
              <w:top w:val="nil"/>
              <w:left w:val="nil"/>
              <w:bottom w:val="nil"/>
              <w:right w:val="nil"/>
            </w:tcBorders>
          </w:tcPr>
          <w:p w14:paraId="5298B57F"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-0.023</w:t>
            </w:r>
          </w:p>
        </w:tc>
        <w:tc>
          <w:tcPr>
            <w:tcW w:w="686" w:type="pct"/>
            <w:tcBorders>
              <w:top w:val="nil"/>
              <w:left w:val="nil"/>
              <w:bottom w:val="nil"/>
              <w:right w:val="nil"/>
            </w:tcBorders>
          </w:tcPr>
          <w:p w14:paraId="4777AA78"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0.000</w:t>
            </w:r>
          </w:p>
        </w:tc>
        <w:tc>
          <w:tcPr>
            <w:tcW w:w="343" w:type="pct"/>
            <w:gridSpan w:val="2"/>
            <w:tcBorders>
              <w:top w:val="nil"/>
              <w:left w:val="nil"/>
              <w:bottom w:val="nil"/>
              <w:right w:val="nil"/>
            </w:tcBorders>
          </w:tcPr>
          <w:p w14:paraId="54D3958F"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w:t>
            </w:r>
          </w:p>
        </w:tc>
      </w:tr>
      <w:tr w:rsidR="0069729B" w:rsidRPr="0069729B" w14:paraId="6E2202E9" w14:textId="77777777" w:rsidTr="0069729B">
        <w:trPr>
          <w:gridAfter w:val="1"/>
          <w:wAfter w:w="44" w:type="pct"/>
        </w:trPr>
        <w:tc>
          <w:tcPr>
            <w:tcW w:w="1136" w:type="pct"/>
            <w:tcBorders>
              <w:top w:val="nil"/>
              <w:left w:val="nil"/>
              <w:bottom w:val="nil"/>
              <w:right w:val="nil"/>
            </w:tcBorders>
          </w:tcPr>
          <w:p w14:paraId="08B40EC3"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SIZE</w:t>
            </w:r>
          </w:p>
        </w:tc>
        <w:tc>
          <w:tcPr>
            <w:tcW w:w="564" w:type="pct"/>
            <w:gridSpan w:val="2"/>
            <w:tcBorders>
              <w:top w:val="nil"/>
              <w:left w:val="nil"/>
              <w:bottom w:val="nil"/>
              <w:right w:val="nil"/>
            </w:tcBorders>
          </w:tcPr>
          <w:p w14:paraId="7EA713B2"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0.198</w:t>
            </w:r>
          </w:p>
        </w:tc>
        <w:tc>
          <w:tcPr>
            <w:tcW w:w="568" w:type="pct"/>
            <w:tcBorders>
              <w:top w:val="nil"/>
              <w:left w:val="nil"/>
              <w:bottom w:val="nil"/>
              <w:right w:val="nil"/>
            </w:tcBorders>
          </w:tcPr>
          <w:p w14:paraId="6AAB9117"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0.028</w:t>
            </w:r>
          </w:p>
        </w:tc>
        <w:tc>
          <w:tcPr>
            <w:tcW w:w="458" w:type="pct"/>
            <w:gridSpan w:val="2"/>
            <w:tcBorders>
              <w:top w:val="nil"/>
              <w:left w:val="nil"/>
              <w:bottom w:val="nil"/>
              <w:right w:val="nil"/>
            </w:tcBorders>
          </w:tcPr>
          <w:p w14:paraId="52EA2241"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7.20</w:t>
            </w:r>
          </w:p>
        </w:tc>
        <w:tc>
          <w:tcPr>
            <w:tcW w:w="515" w:type="pct"/>
            <w:tcBorders>
              <w:top w:val="nil"/>
              <w:left w:val="nil"/>
              <w:bottom w:val="nil"/>
              <w:right w:val="nil"/>
            </w:tcBorders>
          </w:tcPr>
          <w:p w14:paraId="7B30FDF6"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0.000</w:t>
            </w:r>
          </w:p>
        </w:tc>
        <w:tc>
          <w:tcPr>
            <w:tcW w:w="686" w:type="pct"/>
            <w:gridSpan w:val="2"/>
            <w:tcBorders>
              <w:top w:val="nil"/>
              <w:left w:val="nil"/>
              <w:bottom w:val="nil"/>
              <w:right w:val="nil"/>
            </w:tcBorders>
          </w:tcPr>
          <w:p w14:paraId="218BCB38"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0.144</w:t>
            </w:r>
          </w:p>
        </w:tc>
        <w:tc>
          <w:tcPr>
            <w:tcW w:w="686" w:type="pct"/>
            <w:tcBorders>
              <w:top w:val="nil"/>
              <w:left w:val="nil"/>
              <w:bottom w:val="nil"/>
              <w:right w:val="nil"/>
            </w:tcBorders>
          </w:tcPr>
          <w:p w14:paraId="0AFFD8C5"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0.252</w:t>
            </w:r>
          </w:p>
        </w:tc>
        <w:tc>
          <w:tcPr>
            <w:tcW w:w="343" w:type="pct"/>
            <w:gridSpan w:val="2"/>
            <w:tcBorders>
              <w:top w:val="nil"/>
              <w:left w:val="nil"/>
              <w:bottom w:val="nil"/>
              <w:right w:val="nil"/>
            </w:tcBorders>
          </w:tcPr>
          <w:p w14:paraId="142BC49A"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w:t>
            </w:r>
          </w:p>
        </w:tc>
      </w:tr>
      <w:tr w:rsidR="0069729B" w:rsidRPr="0069729B" w14:paraId="249D71CD" w14:textId="77777777" w:rsidTr="0069729B">
        <w:trPr>
          <w:gridAfter w:val="1"/>
          <w:wAfter w:w="44" w:type="pct"/>
        </w:trPr>
        <w:tc>
          <w:tcPr>
            <w:tcW w:w="1136" w:type="pct"/>
            <w:tcBorders>
              <w:top w:val="nil"/>
              <w:left w:val="nil"/>
              <w:bottom w:val="nil"/>
              <w:right w:val="nil"/>
            </w:tcBorders>
          </w:tcPr>
          <w:p w14:paraId="29D6A2FA"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Constant</w:t>
            </w:r>
          </w:p>
        </w:tc>
        <w:tc>
          <w:tcPr>
            <w:tcW w:w="564" w:type="pct"/>
            <w:gridSpan w:val="2"/>
            <w:tcBorders>
              <w:top w:val="nil"/>
              <w:left w:val="nil"/>
              <w:bottom w:val="nil"/>
              <w:right w:val="nil"/>
            </w:tcBorders>
          </w:tcPr>
          <w:p w14:paraId="2A370DE3"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-2.603</w:t>
            </w:r>
          </w:p>
        </w:tc>
        <w:tc>
          <w:tcPr>
            <w:tcW w:w="568" w:type="pct"/>
            <w:tcBorders>
              <w:top w:val="nil"/>
              <w:left w:val="nil"/>
              <w:bottom w:val="nil"/>
              <w:right w:val="nil"/>
            </w:tcBorders>
          </w:tcPr>
          <w:p w14:paraId="1D1C98BB"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0.348</w:t>
            </w:r>
          </w:p>
        </w:tc>
        <w:tc>
          <w:tcPr>
            <w:tcW w:w="458" w:type="pct"/>
            <w:gridSpan w:val="2"/>
            <w:tcBorders>
              <w:top w:val="nil"/>
              <w:left w:val="nil"/>
              <w:bottom w:val="nil"/>
              <w:right w:val="nil"/>
            </w:tcBorders>
          </w:tcPr>
          <w:p w14:paraId="6D1BFA8C"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-7.49</w:t>
            </w:r>
          </w:p>
        </w:tc>
        <w:tc>
          <w:tcPr>
            <w:tcW w:w="515" w:type="pct"/>
            <w:tcBorders>
              <w:top w:val="nil"/>
              <w:left w:val="nil"/>
              <w:bottom w:val="nil"/>
              <w:right w:val="nil"/>
            </w:tcBorders>
          </w:tcPr>
          <w:p w14:paraId="6567CB09"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0.000</w:t>
            </w:r>
          </w:p>
        </w:tc>
        <w:tc>
          <w:tcPr>
            <w:tcW w:w="686" w:type="pct"/>
            <w:gridSpan w:val="2"/>
            <w:tcBorders>
              <w:top w:val="nil"/>
              <w:left w:val="nil"/>
              <w:bottom w:val="nil"/>
              <w:right w:val="nil"/>
            </w:tcBorders>
          </w:tcPr>
          <w:p w14:paraId="59E513FA"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-3.284</w:t>
            </w:r>
          </w:p>
        </w:tc>
        <w:tc>
          <w:tcPr>
            <w:tcW w:w="686" w:type="pct"/>
            <w:tcBorders>
              <w:top w:val="nil"/>
              <w:left w:val="nil"/>
              <w:bottom w:val="nil"/>
              <w:right w:val="nil"/>
            </w:tcBorders>
          </w:tcPr>
          <w:p w14:paraId="443C3363"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-1.921</w:t>
            </w:r>
          </w:p>
        </w:tc>
        <w:tc>
          <w:tcPr>
            <w:tcW w:w="343" w:type="pct"/>
            <w:gridSpan w:val="2"/>
            <w:tcBorders>
              <w:top w:val="nil"/>
              <w:left w:val="nil"/>
              <w:bottom w:val="nil"/>
              <w:right w:val="nil"/>
            </w:tcBorders>
          </w:tcPr>
          <w:p w14:paraId="548C4770"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w:t>
            </w:r>
          </w:p>
        </w:tc>
      </w:tr>
      <w:tr w:rsidR="0069729B" w:rsidRPr="0069729B" w14:paraId="37B2CAA3" w14:textId="77777777" w:rsidTr="0069729B">
        <w:tc>
          <w:tcPr>
            <w:tcW w:w="5000" w:type="pct"/>
            <w:gridSpan w:val="13"/>
            <w:tcBorders>
              <w:top w:val="nil"/>
              <w:left w:val="nil"/>
              <w:bottom w:val="single" w:sz="4" w:space="0" w:color="auto"/>
              <w:right w:val="nil"/>
            </w:tcBorders>
          </w:tcPr>
          <w:p w14:paraId="47237E58"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p>
        </w:tc>
      </w:tr>
      <w:tr w:rsidR="0069729B" w:rsidRPr="0069729B" w14:paraId="08A732F9" w14:textId="77777777" w:rsidTr="0069729B">
        <w:trPr>
          <w:gridAfter w:val="2"/>
          <w:wAfter w:w="343" w:type="pct"/>
        </w:trPr>
        <w:tc>
          <w:tcPr>
            <w:tcW w:w="1540" w:type="pct"/>
            <w:gridSpan w:val="2"/>
            <w:tcBorders>
              <w:top w:val="nil"/>
              <w:left w:val="nil"/>
              <w:bottom w:val="nil"/>
              <w:right w:val="nil"/>
            </w:tcBorders>
          </w:tcPr>
          <w:p w14:paraId="6114B2CB"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Mean dependent var</w:t>
            </w:r>
          </w:p>
        </w:tc>
        <w:tc>
          <w:tcPr>
            <w:tcW w:w="800" w:type="pct"/>
            <w:gridSpan w:val="3"/>
            <w:tcBorders>
              <w:top w:val="nil"/>
              <w:left w:val="nil"/>
              <w:bottom w:val="nil"/>
              <w:right w:val="nil"/>
            </w:tcBorders>
          </w:tcPr>
          <w:p w14:paraId="721BFEF1"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0.133</w:t>
            </w:r>
          </w:p>
        </w:tc>
        <w:tc>
          <w:tcPr>
            <w:tcW w:w="1316" w:type="pct"/>
            <w:gridSpan w:val="3"/>
            <w:tcBorders>
              <w:top w:val="nil"/>
              <w:left w:val="nil"/>
              <w:bottom w:val="nil"/>
              <w:right w:val="nil"/>
            </w:tcBorders>
          </w:tcPr>
          <w:p w14:paraId="371064A7"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 xml:space="preserve">SD dependent var </w:t>
            </w:r>
          </w:p>
        </w:tc>
        <w:tc>
          <w:tcPr>
            <w:tcW w:w="1001" w:type="pct"/>
            <w:gridSpan w:val="3"/>
            <w:tcBorders>
              <w:top w:val="nil"/>
              <w:left w:val="nil"/>
              <w:bottom w:val="nil"/>
              <w:right w:val="nil"/>
            </w:tcBorders>
          </w:tcPr>
          <w:p w14:paraId="0AF23350"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0.206</w:t>
            </w:r>
          </w:p>
        </w:tc>
      </w:tr>
      <w:tr w:rsidR="0069729B" w:rsidRPr="0069729B" w14:paraId="3664A657" w14:textId="77777777" w:rsidTr="0069729B">
        <w:trPr>
          <w:gridAfter w:val="2"/>
          <w:wAfter w:w="343" w:type="pct"/>
        </w:trPr>
        <w:tc>
          <w:tcPr>
            <w:tcW w:w="1540" w:type="pct"/>
            <w:gridSpan w:val="2"/>
            <w:tcBorders>
              <w:top w:val="nil"/>
              <w:left w:val="nil"/>
              <w:bottom w:val="nil"/>
              <w:right w:val="nil"/>
            </w:tcBorders>
          </w:tcPr>
          <w:p w14:paraId="115B22B2"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 xml:space="preserve">Overall r-squared </w:t>
            </w:r>
          </w:p>
        </w:tc>
        <w:tc>
          <w:tcPr>
            <w:tcW w:w="800" w:type="pct"/>
            <w:gridSpan w:val="3"/>
            <w:tcBorders>
              <w:top w:val="nil"/>
              <w:left w:val="nil"/>
              <w:bottom w:val="nil"/>
              <w:right w:val="nil"/>
            </w:tcBorders>
          </w:tcPr>
          <w:p w14:paraId="704ECEE4"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0.680</w:t>
            </w:r>
          </w:p>
        </w:tc>
        <w:tc>
          <w:tcPr>
            <w:tcW w:w="1316" w:type="pct"/>
            <w:gridSpan w:val="3"/>
            <w:tcBorders>
              <w:top w:val="nil"/>
              <w:left w:val="nil"/>
              <w:bottom w:val="nil"/>
              <w:right w:val="nil"/>
            </w:tcBorders>
          </w:tcPr>
          <w:p w14:paraId="1A6404EE"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 xml:space="preserve">Number of </w:t>
            </w:r>
            <w:proofErr w:type="spellStart"/>
            <w:r w:rsidRPr="0069729B">
              <w:rPr>
                <w:rFonts w:ascii="Calibri" w:hAnsi="Calibri" w:cs="Calibri"/>
              </w:rPr>
              <w:t>obs</w:t>
            </w:r>
            <w:proofErr w:type="spellEnd"/>
            <w:r w:rsidRPr="0069729B">
              <w:rPr>
                <w:rFonts w:ascii="Calibri" w:hAnsi="Calibri" w:cs="Calibri"/>
              </w:rPr>
              <w:t xml:space="preserve">  </w:t>
            </w:r>
          </w:p>
        </w:tc>
        <w:tc>
          <w:tcPr>
            <w:tcW w:w="1001" w:type="pct"/>
            <w:gridSpan w:val="3"/>
            <w:tcBorders>
              <w:top w:val="nil"/>
              <w:left w:val="nil"/>
              <w:bottom w:val="nil"/>
              <w:right w:val="nil"/>
            </w:tcBorders>
          </w:tcPr>
          <w:p w14:paraId="0A1DDAEF"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210.000</w:t>
            </w:r>
          </w:p>
        </w:tc>
      </w:tr>
      <w:tr w:rsidR="0069729B" w:rsidRPr="0069729B" w14:paraId="66B99B37" w14:textId="77777777" w:rsidTr="0069729B">
        <w:trPr>
          <w:gridAfter w:val="2"/>
          <w:wAfter w:w="343" w:type="pct"/>
        </w:trPr>
        <w:tc>
          <w:tcPr>
            <w:tcW w:w="1540" w:type="pct"/>
            <w:gridSpan w:val="2"/>
            <w:tcBorders>
              <w:top w:val="nil"/>
              <w:left w:val="nil"/>
              <w:bottom w:val="nil"/>
              <w:right w:val="nil"/>
            </w:tcBorders>
          </w:tcPr>
          <w:p w14:paraId="4E4E3531"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 xml:space="preserve">Chi-square  </w:t>
            </w:r>
          </w:p>
        </w:tc>
        <w:tc>
          <w:tcPr>
            <w:tcW w:w="800" w:type="pct"/>
            <w:gridSpan w:val="3"/>
            <w:tcBorders>
              <w:top w:val="nil"/>
              <w:left w:val="nil"/>
              <w:bottom w:val="nil"/>
              <w:right w:val="nil"/>
            </w:tcBorders>
          </w:tcPr>
          <w:p w14:paraId="295B6D9F"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136.040</w:t>
            </w:r>
          </w:p>
        </w:tc>
        <w:tc>
          <w:tcPr>
            <w:tcW w:w="1316" w:type="pct"/>
            <w:gridSpan w:val="3"/>
            <w:tcBorders>
              <w:top w:val="nil"/>
              <w:left w:val="nil"/>
              <w:bottom w:val="nil"/>
              <w:right w:val="nil"/>
            </w:tcBorders>
          </w:tcPr>
          <w:p w14:paraId="338937EA"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 xml:space="preserve">Prob &gt; chi2 </w:t>
            </w:r>
          </w:p>
        </w:tc>
        <w:tc>
          <w:tcPr>
            <w:tcW w:w="1001" w:type="pct"/>
            <w:gridSpan w:val="3"/>
            <w:tcBorders>
              <w:top w:val="nil"/>
              <w:left w:val="nil"/>
              <w:bottom w:val="nil"/>
              <w:right w:val="nil"/>
            </w:tcBorders>
          </w:tcPr>
          <w:p w14:paraId="3232ECF7"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0.000</w:t>
            </w:r>
          </w:p>
        </w:tc>
      </w:tr>
      <w:tr w:rsidR="0069729B" w:rsidRPr="0069729B" w14:paraId="5E4562DF" w14:textId="77777777" w:rsidTr="0069729B">
        <w:trPr>
          <w:gridAfter w:val="2"/>
          <w:wAfter w:w="343" w:type="pct"/>
        </w:trPr>
        <w:tc>
          <w:tcPr>
            <w:tcW w:w="1540" w:type="pct"/>
            <w:gridSpan w:val="2"/>
            <w:tcBorders>
              <w:top w:val="nil"/>
              <w:left w:val="nil"/>
              <w:bottom w:val="nil"/>
              <w:right w:val="nil"/>
            </w:tcBorders>
          </w:tcPr>
          <w:p w14:paraId="798484DD"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R-squared within</w:t>
            </w:r>
          </w:p>
        </w:tc>
        <w:tc>
          <w:tcPr>
            <w:tcW w:w="800" w:type="pct"/>
            <w:gridSpan w:val="3"/>
            <w:tcBorders>
              <w:top w:val="nil"/>
              <w:left w:val="nil"/>
              <w:bottom w:val="nil"/>
              <w:right w:val="nil"/>
            </w:tcBorders>
          </w:tcPr>
          <w:p w14:paraId="6BEA0419"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0.123</w:t>
            </w:r>
          </w:p>
        </w:tc>
        <w:tc>
          <w:tcPr>
            <w:tcW w:w="1316" w:type="pct"/>
            <w:gridSpan w:val="3"/>
            <w:tcBorders>
              <w:top w:val="nil"/>
              <w:left w:val="nil"/>
              <w:bottom w:val="nil"/>
              <w:right w:val="nil"/>
            </w:tcBorders>
          </w:tcPr>
          <w:p w14:paraId="0BAC2FFE"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R-squared between</w:t>
            </w:r>
          </w:p>
        </w:tc>
        <w:tc>
          <w:tcPr>
            <w:tcW w:w="1001" w:type="pct"/>
            <w:gridSpan w:val="3"/>
            <w:tcBorders>
              <w:top w:val="nil"/>
              <w:left w:val="nil"/>
              <w:bottom w:val="nil"/>
              <w:right w:val="nil"/>
            </w:tcBorders>
          </w:tcPr>
          <w:p w14:paraId="67B9CEF4"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rPr>
              <w:t>0.735</w:t>
            </w:r>
          </w:p>
        </w:tc>
      </w:tr>
      <w:tr w:rsidR="0069729B" w:rsidRPr="0069729B" w14:paraId="35D3D843" w14:textId="77777777" w:rsidTr="0069729B">
        <w:tc>
          <w:tcPr>
            <w:tcW w:w="5000" w:type="pct"/>
            <w:gridSpan w:val="13"/>
            <w:tcBorders>
              <w:top w:val="nil"/>
              <w:left w:val="nil"/>
              <w:bottom w:val="single" w:sz="10" w:space="0" w:color="auto"/>
              <w:right w:val="nil"/>
            </w:tcBorders>
          </w:tcPr>
          <w:p w14:paraId="26EEE4FF"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p>
        </w:tc>
      </w:tr>
      <w:tr w:rsidR="0069729B" w:rsidRPr="0069729B" w14:paraId="2B11967D" w14:textId="77777777" w:rsidTr="0069729B">
        <w:trPr>
          <w:gridAfter w:val="2"/>
          <w:wAfter w:w="343" w:type="pct"/>
        </w:trPr>
        <w:tc>
          <w:tcPr>
            <w:tcW w:w="4657" w:type="pct"/>
            <w:gridSpan w:val="11"/>
            <w:tcBorders>
              <w:top w:val="nil"/>
              <w:left w:val="nil"/>
              <w:bottom w:val="nil"/>
              <w:right w:val="nil"/>
            </w:tcBorders>
          </w:tcPr>
          <w:p w14:paraId="1B1C6313" w14:textId="77777777" w:rsidR="0069729B" w:rsidRPr="0069729B" w:rsidRDefault="0069729B" w:rsidP="00F0140C">
            <w:pPr>
              <w:widowControl w:val="0"/>
              <w:autoSpaceDE w:val="0"/>
              <w:autoSpaceDN w:val="0"/>
              <w:adjustRightInd w:val="0"/>
              <w:spacing w:after="0" w:line="240" w:lineRule="auto"/>
              <w:jc w:val="both"/>
              <w:rPr>
                <w:rFonts w:ascii="Calibri" w:hAnsi="Calibri" w:cs="Calibri"/>
              </w:rPr>
            </w:pPr>
            <w:r w:rsidRPr="0069729B">
              <w:rPr>
                <w:rFonts w:ascii="Calibri" w:hAnsi="Calibri" w:cs="Calibri"/>
                <w:i/>
                <w:iCs/>
              </w:rPr>
              <w:t>*** p&lt;0.01, ** p&lt;0.05, * p&lt;0.1</w:t>
            </w:r>
          </w:p>
        </w:tc>
      </w:tr>
    </w:tbl>
    <w:p w14:paraId="5CC6F0EE" w14:textId="77777777" w:rsidR="0069729B" w:rsidRPr="00EB0F4E" w:rsidRDefault="0069729B" w:rsidP="0069729B">
      <w:pPr>
        <w:widowControl w:val="0"/>
        <w:autoSpaceDE w:val="0"/>
        <w:autoSpaceDN w:val="0"/>
        <w:adjustRightInd w:val="0"/>
        <w:spacing w:after="0" w:line="240" w:lineRule="auto"/>
        <w:jc w:val="both"/>
        <w:rPr>
          <w:rFonts w:ascii="Calibri" w:hAnsi="Calibri" w:cs="Calibri"/>
          <w:b/>
          <w:bCs/>
          <w:sz w:val="24"/>
          <w:szCs w:val="24"/>
        </w:rPr>
      </w:pPr>
    </w:p>
    <w:p w14:paraId="5715CB27" w14:textId="7E3D0DAB" w:rsidR="0069729B" w:rsidRPr="00EB0F4E" w:rsidRDefault="0069729B" w:rsidP="0069729B">
      <w:pPr>
        <w:widowControl w:val="0"/>
        <w:tabs>
          <w:tab w:val="left" w:pos="567"/>
        </w:tabs>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sz w:val="24"/>
          <w:szCs w:val="24"/>
        </w:rPr>
        <w:tab/>
        <w:t xml:space="preserve">In model 2, we use the sub information category disclosure in sustainability report as </w:t>
      </w:r>
      <w:r w:rsidRPr="00EB0F4E">
        <w:rPr>
          <w:rFonts w:ascii="Calibri" w:hAnsi="Calibri" w:cs="Calibri"/>
          <w:sz w:val="24"/>
          <w:szCs w:val="24"/>
        </w:rPr>
        <w:lastRenderedPageBreak/>
        <w:t>our dependent variable that consist of economic, environmental, and social information disclosure. In all sustainability information disclosure categories, we find that board’s gender diversity demonstrates positive effect, consistent with the main test. In social information disclosure, board diversity in age and education demonstrates positive effect. Apart from those, within the rest of the tests, we find no more significant effect of board’s nationality, age, and education diversity, consistent with the main result. The regression results are reported as follows</w:t>
      </w:r>
    </w:p>
    <w:p w14:paraId="1DC01971" w14:textId="68CEDAD7" w:rsidR="0069729B" w:rsidRPr="0069729B" w:rsidRDefault="0069729B" w:rsidP="0069729B">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b/>
          <w:bCs/>
          <w:sz w:val="24"/>
          <w:szCs w:val="24"/>
        </w:rPr>
        <w:br/>
      </w:r>
      <w:r w:rsidRPr="0069729B">
        <w:rPr>
          <w:rFonts w:ascii="Calibri" w:hAnsi="Calibri" w:cs="Calibri"/>
          <w:sz w:val="24"/>
          <w:szCs w:val="24"/>
        </w:rPr>
        <w:t>Table 5</w:t>
      </w:r>
    </w:p>
    <w:p w14:paraId="7A1F7832" w14:textId="6D9CBF51" w:rsidR="0069729B" w:rsidRPr="0069729B" w:rsidRDefault="0069729B" w:rsidP="0069729B">
      <w:pPr>
        <w:widowControl w:val="0"/>
        <w:autoSpaceDE w:val="0"/>
        <w:autoSpaceDN w:val="0"/>
        <w:adjustRightInd w:val="0"/>
        <w:spacing w:after="0" w:line="240" w:lineRule="auto"/>
        <w:jc w:val="both"/>
        <w:rPr>
          <w:rFonts w:ascii="Calibri" w:hAnsi="Calibri" w:cs="Calibri"/>
          <w:i/>
          <w:iCs/>
          <w:sz w:val="24"/>
          <w:szCs w:val="24"/>
        </w:rPr>
      </w:pPr>
      <w:r w:rsidRPr="0069729B">
        <w:rPr>
          <w:rFonts w:ascii="Calibri" w:hAnsi="Calibri" w:cs="Calibri"/>
          <w:i/>
          <w:iCs/>
          <w:sz w:val="24"/>
          <w:szCs w:val="24"/>
        </w:rPr>
        <w:t>Panel Data Regression results for Sub-Category Split</w:t>
      </w:r>
    </w:p>
    <w:tbl>
      <w:tblPr>
        <w:tblW w:w="0" w:type="auto"/>
        <w:tblLayout w:type="fixed"/>
        <w:tblLook w:val="0000" w:firstRow="0" w:lastRow="0" w:firstColumn="0" w:lastColumn="0" w:noHBand="0" w:noVBand="0"/>
      </w:tblPr>
      <w:tblGrid>
        <w:gridCol w:w="1708"/>
        <w:gridCol w:w="700"/>
        <w:gridCol w:w="500"/>
        <w:gridCol w:w="1200"/>
        <w:gridCol w:w="50"/>
        <w:gridCol w:w="750"/>
        <w:gridCol w:w="900"/>
        <w:gridCol w:w="650"/>
        <w:gridCol w:w="550"/>
        <w:gridCol w:w="1200"/>
        <w:gridCol w:w="600"/>
      </w:tblGrid>
      <w:tr w:rsidR="0069729B" w:rsidRPr="00EB0F4E" w14:paraId="23D8771A" w14:textId="77777777" w:rsidTr="00F0140C">
        <w:trPr>
          <w:tblHeader/>
        </w:trPr>
        <w:tc>
          <w:tcPr>
            <w:tcW w:w="8808" w:type="dxa"/>
            <w:gridSpan w:val="11"/>
            <w:tcBorders>
              <w:top w:val="single" w:sz="4" w:space="0" w:color="auto"/>
              <w:left w:val="nil"/>
              <w:bottom w:val="single" w:sz="8" w:space="0" w:color="auto"/>
              <w:right w:val="nil"/>
            </w:tcBorders>
          </w:tcPr>
          <w:p w14:paraId="24531EFC" w14:textId="77777777" w:rsidR="0069729B" w:rsidRPr="00EB0F4E" w:rsidRDefault="0069729B" w:rsidP="00F0140C">
            <w:pPr>
              <w:widowControl w:val="0"/>
              <w:autoSpaceDE w:val="0"/>
              <w:autoSpaceDN w:val="0"/>
              <w:adjustRightInd w:val="0"/>
              <w:spacing w:after="0" w:line="240" w:lineRule="auto"/>
              <w:jc w:val="both"/>
              <w:rPr>
                <w:rFonts w:ascii="Calibri" w:hAnsi="Calibri" w:cs="Calibri"/>
                <w:b/>
                <w:bCs/>
                <w:i/>
                <w:iCs/>
                <w:sz w:val="24"/>
                <w:szCs w:val="24"/>
              </w:rPr>
            </w:pPr>
            <w:r w:rsidRPr="00EB0F4E">
              <w:rPr>
                <w:rFonts w:ascii="Calibri" w:hAnsi="Calibri" w:cs="Calibri"/>
                <w:b/>
                <w:bCs/>
                <w:i/>
                <w:iCs/>
                <w:sz w:val="24"/>
                <w:szCs w:val="24"/>
              </w:rPr>
              <w:t>Panel A: Economic Information Category</w:t>
            </w:r>
          </w:p>
        </w:tc>
      </w:tr>
      <w:tr w:rsidR="0069729B" w:rsidRPr="00EB0F4E" w14:paraId="730F744B" w14:textId="77777777" w:rsidTr="00F0140C">
        <w:trPr>
          <w:tblHeader/>
        </w:trPr>
        <w:tc>
          <w:tcPr>
            <w:tcW w:w="1708" w:type="dxa"/>
            <w:tcBorders>
              <w:top w:val="single" w:sz="4" w:space="0" w:color="auto"/>
              <w:left w:val="nil"/>
              <w:bottom w:val="single" w:sz="8" w:space="0" w:color="auto"/>
              <w:right w:val="nil"/>
            </w:tcBorders>
          </w:tcPr>
          <w:p w14:paraId="425DD3D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sz w:val="24"/>
                <w:szCs w:val="24"/>
              </w:rPr>
              <w:t xml:space="preserve"> GRI_ECO</w:t>
            </w:r>
          </w:p>
        </w:tc>
        <w:tc>
          <w:tcPr>
            <w:tcW w:w="1200" w:type="dxa"/>
            <w:gridSpan w:val="2"/>
            <w:tcBorders>
              <w:top w:val="single" w:sz="4" w:space="0" w:color="auto"/>
              <w:left w:val="nil"/>
              <w:bottom w:val="single" w:sz="8" w:space="0" w:color="auto"/>
              <w:right w:val="nil"/>
            </w:tcBorders>
          </w:tcPr>
          <w:p w14:paraId="2494F68A" w14:textId="77777777" w:rsidR="0069729B" w:rsidRPr="00EB0F4E" w:rsidRDefault="0069729B" w:rsidP="00F0140C">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sz w:val="24"/>
                <w:szCs w:val="24"/>
              </w:rPr>
              <w:t xml:space="preserve"> Coef.</w:t>
            </w:r>
          </w:p>
        </w:tc>
        <w:tc>
          <w:tcPr>
            <w:tcW w:w="1200" w:type="dxa"/>
            <w:tcBorders>
              <w:top w:val="single" w:sz="4" w:space="0" w:color="auto"/>
              <w:left w:val="nil"/>
              <w:bottom w:val="single" w:sz="8" w:space="0" w:color="auto"/>
              <w:right w:val="nil"/>
            </w:tcBorders>
          </w:tcPr>
          <w:p w14:paraId="01C2C34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sz w:val="24"/>
                <w:szCs w:val="24"/>
              </w:rPr>
              <w:t xml:space="preserve"> </w:t>
            </w:r>
            <w:proofErr w:type="spellStart"/>
            <w:proofErr w:type="gramStart"/>
            <w:r w:rsidRPr="00EB0F4E">
              <w:rPr>
                <w:rFonts w:ascii="Calibri" w:hAnsi="Calibri" w:cs="Calibri"/>
                <w:b/>
                <w:bCs/>
                <w:sz w:val="24"/>
                <w:szCs w:val="24"/>
              </w:rPr>
              <w:t>St.Err</w:t>
            </w:r>
            <w:proofErr w:type="spellEnd"/>
            <w:proofErr w:type="gramEnd"/>
            <w:r w:rsidRPr="00EB0F4E">
              <w:rPr>
                <w:rFonts w:ascii="Calibri" w:hAnsi="Calibri" w:cs="Calibri"/>
                <w:b/>
                <w:bCs/>
                <w:sz w:val="24"/>
                <w:szCs w:val="24"/>
              </w:rPr>
              <w:t>.</w:t>
            </w:r>
          </w:p>
        </w:tc>
        <w:tc>
          <w:tcPr>
            <w:tcW w:w="800" w:type="dxa"/>
            <w:gridSpan w:val="2"/>
            <w:tcBorders>
              <w:top w:val="single" w:sz="4" w:space="0" w:color="auto"/>
              <w:left w:val="nil"/>
              <w:bottom w:val="single" w:sz="8" w:space="0" w:color="auto"/>
              <w:right w:val="nil"/>
            </w:tcBorders>
          </w:tcPr>
          <w:p w14:paraId="27CA6F02" w14:textId="77777777" w:rsidR="0069729B" w:rsidRPr="00EB0F4E" w:rsidRDefault="0069729B" w:rsidP="00F0140C">
            <w:pPr>
              <w:widowControl w:val="0"/>
              <w:autoSpaceDE w:val="0"/>
              <w:autoSpaceDN w:val="0"/>
              <w:adjustRightInd w:val="0"/>
              <w:spacing w:after="0" w:line="240" w:lineRule="auto"/>
              <w:ind w:right="-247"/>
              <w:jc w:val="both"/>
              <w:rPr>
                <w:rFonts w:ascii="Calibri" w:hAnsi="Calibri" w:cs="Calibri"/>
                <w:b/>
                <w:bCs/>
                <w:sz w:val="24"/>
                <w:szCs w:val="24"/>
              </w:rPr>
            </w:pPr>
            <w:r w:rsidRPr="00EB0F4E">
              <w:rPr>
                <w:rFonts w:ascii="Calibri" w:hAnsi="Calibri" w:cs="Calibri"/>
                <w:b/>
                <w:bCs/>
                <w:sz w:val="24"/>
                <w:szCs w:val="24"/>
              </w:rPr>
              <w:t>t-value</w:t>
            </w:r>
          </w:p>
        </w:tc>
        <w:tc>
          <w:tcPr>
            <w:tcW w:w="900" w:type="dxa"/>
            <w:tcBorders>
              <w:top w:val="single" w:sz="4" w:space="0" w:color="auto"/>
              <w:left w:val="nil"/>
              <w:bottom w:val="single" w:sz="8" w:space="0" w:color="auto"/>
              <w:right w:val="nil"/>
            </w:tcBorders>
          </w:tcPr>
          <w:p w14:paraId="1C116F01" w14:textId="77777777" w:rsidR="0069729B" w:rsidRPr="00EB0F4E" w:rsidRDefault="0069729B" w:rsidP="00F0140C">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sz w:val="24"/>
                <w:szCs w:val="24"/>
              </w:rPr>
              <w:t xml:space="preserve"> p-value</w:t>
            </w:r>
          </w:p>
        </w:tc>
        <w:tc>
          <w:tcPr>
            <w:tcW w:w="1200" w:type="dxa"/>
            <w:gridSpan w:val="2"/>
            <w:tcBorders>
              <w:top w:val="single" w:sz="4" w:space="0" w:color="auto"/>
              <w:left w:val="nil"/>
              <w:bottom w:val="single" w:sz="8" w:space="0" w:color="auto"/>
              <w:right w:val="nil"/>
            </w:tcBorders>
          </w:tcPr>
          <w:p w14:paraId="63DC4A95" w14:textId="77777777" w:rsidR="0069729B" w:rsidRPr="00EB0F4E" w:rsidRDefault="0069729B" w:rsidP="00F0140C">
            <w:pPr>
              <w:widowControl w:val="0"/>
              <w:autoSpaceDE w:val="0"/>
              <w:autoSpaceDN w:val="0"/>
              <w:adjustRightInd w:val="0"/>
              <w:spacing w:after="0" w:line="240" w:lineRule="auto"/>
              <w:ind w:right="-40"/>
              <w:jc w:val="both"/>
              <w:rPr>
                <w:rFonts w:ascii="Calibri" w:hAnsi="Calibri" w:cs="Calibri"/>
                <w:b/>
                <w:bCs/>
                <w:sz w:val="24"/>
                <w:szCs w:val="24"/>
              </w:rPr>
            </w:pPr>
            <w:r w:rsidRPr="00EB0F4E">
              <w:rPr>
                <w:rFonts w:ascii="Calibri" w:hAnsi="Calibri" w:cs="Calibri"/>
                <w:b/>
                <w:bCs/>
                <w:sz w:val="24"/>
                <w:szCs w:val="24"/>
              </w:rPr>
              <w:t xml:space="preserve"> [95% Conf</w:t>
            </w:r>
          </w:p>
        </w:tc>
        <w:tc>
          <w:tcPr>
            <w:tcW w:w="1200" w:type="dxa"/>
            <w:tcBorders>
              <w:top w:val="single" w:sz="4" w:space="0" w:color="auto"/>
              <w:left w:val="nil"/>
              <w:bottom w:val="single" w:sz="8" w:space="0" w:color="auto"/>
              <w:right w:val="nil"/>
            </w:tcBorders>
          </w:tcPr>
          <w:p w14:paraId="15263270" w14:textId="77777777" w:rsidR="0069729B" w:rsidRPr="00EB0F4E" w:rsidRDefault="0069729B" w:rsidP="00F0140C">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sz w:val="24"/>
                <w:szCs w:val="24"/>
              </w:rPr>
              <w:t xml:space="preserve"> Interval]</w:t>
            </w:r>
          </w:p>
        </w:tc>
        <w:tc>
          <w:tcPr>
            <w:tcW w:w="600" w:type="dxa"/>
            <w:tcBorders>
              <w:top w:val="single" w:sz="4" w:space="0" w:color="auto"/>
              <w:left w:val="nil"/>
              <w:bottom w:val="single" w:sz="8" w:space="0" w:color="auto"/>
              <w:right w:val="nil"/>
            </w:tcBorders>
          </w:tcPr>
          <w:p w14:paraId="7569B346" w14:textId="77777777" w:rsidR="0069729B" w:rsidRPr="00EB0F4E" w:rsidRDefault="0069729B" w:rsidP="00F0140C">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sz w:val="24"/>
                <w:szCs w:val="24"/>
              </w:rPr>
              <w:t xml:space="preserve"> Sig</w:t>
            </w:r>
          </w:p>
        </w:tc>
      </w:tr>
      <w:tr w:rsidR="0069729B" w:rsidRPr="00EB0F4E" w14:paraId="1A6F24C1" w14:textId="77777777" w:rsidTr="00F0140C">
        <w:tc>
          <w:tcPr>
            <w:tcW w:w="1708" w:type="dxa"/>
            <w:tcBorders>
              <w:top w:val="nil"/>
              <w:left w:val="nil"/>
              <w:bottom w:val="nil"/>
              <w:right w:val="nil"/>
            </w:tcBorders>
          </w:tcPr>
          <w:p w14:paraId="32ED68CB"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BLAU_GENDER</w:t>
            </w:r>
          </w:p>
        </w:tc>
        <w:tc>
          <w:tcPr>
            <w:tcW w:w="1200" w:type="dxa"/>
            <w:gridSpan w:val="2"/>
            <w:tcBorders>
              <w:top w:val="nil"/>
              <w:left w:val="nil"/>
              <w:bottom w:val="nil"/>
              <w:right w:val="nil"/>
            </w:tcBorders>
          </w:tcPr>
          <w:p w14:paraId="58D9FDD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0.176</w:t>
            </w:r>
          </w:p>
        </w:tc>
        <w:tc>
          <w:tcPr>
            <w:tcW w:w="1200" w:type="dxa"/>
            <w:tcBorders>
              <w:top w:val="nil"/>
              <w:left w:val="nil"/>
              <w:bottom w:val="nil"/>
              <w:right w:val="nil"/>
            </w:tcBorders>
          </w:tcPr>
          <w:p w14:paraId="3DEC6053"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0.116</w:t>
            </w:r>
          </w:p>
        </w:tc>
        <w:tc>
          <w:tcPr>
            <w:tcW w:w="800" w:type="dxa"/>
            <w:gridSpan w:val="2"/>
            <w:tcBorders>
              <w:top w:val="nil"/>
              <w:left w:val="nil"/>
              <w:bottom w:val="nil"/>
              <w:right w:val="nil"/>
            </w:tcBorders>
          </w:tcPr>
          <w:p w14:paraId="3038189C"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1.51</w:t>
            </w:r>
          </w:p>
        </w:tc>
        <w:tc>
          <w:tcPr>
            <w:tcW w:w="900" w:type="dxa"/>
            <w:tcBorders>
              <w:top w:val="nil"/>
              <w:left w:val="nil"/>
              <w:bottom w:val="nil"/>
              <w:right w:val="nil"/>
            </w:tcBorders>
          </w:tcPr>
          <w:p w14:paraId="7314E4F2"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0.093</w:t>
            </w:r>
          </w:p>
        </w:tc>
        <w:tc>
          <w:tcPr>
            <w:tcW w:w="1200" w:type="dxa"/>
            <w:gridSpan w:val="2"/>
            <w:tcBorders>
              <w:top w:val="nil"/>
              <w:left w:val="nil"/>
              <w:bottom w:val="nil"/>
              <w:right w:val="nil"/>
            </w:tcBorders>
          </w:tcPr>
          <w:p w14:paraId="03A014AC"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-0.052</w:t>
            </w:r>
          </w:p>
        </w:tc>
        <w:tc>
          <w:tcPr>
            <w:tcW w:w="1200" w:type="dxa"/>
            <w:tcBorders>
              <w:top w:val="nil"/>
              <w:left w:val="nil"/>
              <w:bottom w:val="nil"/>
              <w:right w:val="nil"/>
            </w:tcBorders>
          </w:tcPr>
          <w:p w14:paraId="2F45CE98"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0.403</w:t>
            </w:r>
          </w:p>
        </w:tc>
        <w:tc>
          <w:tcPr>
            <w:tcW w:w="600" w:type="dxa"/>
            <w:tcBorders>
              <w:top w:val="nil"/>
              <w:left w:val="nil"/>
              <w:bottom w:val="nil"/>
              <w:right w:val="nil"/>
            </w:tcBorders>
          </w:tcPr>
          <w:p w14:paraId="24137B5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w:t>
            </w:r>
          </w:p>
        </w:tc>
      </w:tr>
      <w:tr w:rsidR="0069729B" w:rsidRPr="00EB0F4E" w14:paraId="46F92E57" w14:textId="77777777" w:rsidTr="00F0140C">
        <w:tc>
          <w:tcPr>
            <w:tcW w:w="1708" w:type="dxa"/>
            <w:tcBorders>
              <w:top w:val="nil"/>
              <w:left w:val="nil"/>
              <w:bottom w:val="nil"/>
              <w:right w:val="nil"/>
            </w:tcBorders>
          </w:tcPr>
          <w:p w14:paraId="34E1AE6C"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BLAU_NAT</w:t>
            </w:r>
          </w:p>
        </w:tc>
        <w:tc>
          <w:tcPr>
            <w:tcW w:w="1200" w:type="dxa"/>
            <w:gridSpan w:val="2"/>
            <w:tcBorders>
              <w:top w:val="nil"/>
              <w:left w:val="nil"/>
              <w:bottom w:val="nil"/>
              <w:right w:val="nil"/>
            </w:tcBorders>
          </w:tcPr>
          <w:p w14:paraId="50ED2273"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-0.171</w:t>
            </w:r>
          </w:p>
        </w:tc>
        <w:tc>
          <w:tcPr>
            <w:tcW w:w="1200" w:type="dxa"/>
            <w:tcBorders>
              <w:top w:val="nil"/>
              <w:left w:val="nil"/>
              <w:bottom w:val="nil"/>
              <w:right w:val="nil"/>
            </w:tcBorders>
          </w:tcPr>
          <w:p w14:paraId="344F7EFA"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0.160</w:t>
            </w:r>
          </w:p>
        </w:tc>
        <w:tc>
          <w:tcPr>
            <w:tcW w:w="800" w:type="dxa"/>
            <w:gridSpan w:val="2"/>
            <w:tcBorders>
              <w:top w:val="nil"/>
              <w:left w:val="nil"/>
              <w:bottom w:val="nil"/>
              <w:right w:val="nil"/>
            </w:tcBorders>
          </w:tcPr>
          <w:p w14:paraId="68C7178E"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-1.07</w:t>
            </w:r>
          </w:p>
        </w:tc>
        <w:tc>
          <w:tcPr>
            <w:tcW w:w="900" w:type="dxa"/>
            <w:tcBorders>
              <w:top w:val="nil"/>
              <w:left w:val="nil"/>
              <w:bottom w:val="nil"/>
              <w:right w:val="nil"/>
            </w:tcBorders>
          </w:tcPr>
          <w:p w14:paraId="38DFA184"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0.286</w:t>
            </w:r>
          </w:p>
        </w:tc>
        <w:tc>
          <w:tcPr>
            <w:tcW w:w="1200" w:type="dxa"/>
            <w:gridSpan w:val="2"/>
            <w:tcBorders>
              <w:top w:val="nil"/>
              <w:left w:val="nil"/>
              <w:bottom w:val="nil"/>
              <w:right w:val="nil"/>
            </w:tcBorders>
          </w:tcPr>
          <w:p w14:paraId="76441340"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-0.486</w:t>
            </w:r>
          </w:p>
        </w:tc>
        <w:tc>
          <w:tcPr>
            <w:tcW w:w="1200" w:type="dxa"/>
            <w:tcBorders>
              <w:top w:val="nil"/>
              <w:left w:val="nil"/>
              <w:bottom w:val="nil"/>
              <w:right w:val="nil"/>
            </w:tcBorders>
          </w:tcPr>
          <w:p w14:paraId="2CA37756"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0.143</w:t>
            </w:r>
          </w:p>
        </w:tc>
        <w:tc>
          <w:tcPr>
            <w:tcW w:w="600" w:type="dxa"/>
            <w:tcBorders>
              <w:top w:val="nil"/>
              <w:left w:val="nil"/>
              <w:bottom w:val="nil"/>
              <w:right w:val="nil"/>
            </w:tcBorders>
          </w:tcPr>
          <w:p w14:paraId="1625E61A"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p>
        </w:tc>
      </w:tr>
      <w:tr w:rsidR="0069729B" w:rsidRPr="00EB0F4E" w14:paraId="0C0968DA" w14:textId="77777777" w:rsidTr="00F0140C">
        <w:tc>
          <w:tcPr>
            <w:tcW w:w="1708" w:type="dxa"/>
            <w:tcBorders>
              <w:top w:val="nil"/>
              <w:left w:val="nil"/>
              <w:bottom w:val="nil"/>
              <w:right w:val="nil"/>
            </w:tcBorders>
          </w:tcPr>
          <w:p w14:paraId="6073909A"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BLAU_AGE</w:t>
            </w:r>
          </w:p>
        </w:tc>
        <w:tc>
          <w:tcPr>
            <w:tcW w:w="1200" w:type="dxa"/>
            <w:gridSpan w:val="2"/>
            <w:tcBorders>
              <w:top w:val="nil"/>
              <w:left w:val="nil"/>
              <w:bottom w:val="nil"/>
              <w:right w:val="nil"/>
            </w:tcBorders>
          </w:tcPr>
          <w:p w14:paraId="4C7F4B5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0.003</w:t>
            </w:r>
          </w:p>
        </w:tc>
        <w:tc>
          <w:tcPr>
            <w:tcW w:w="1200" w:type="dxa"/>
            <w:tcBorders>
              <w:top w:val="nil"/>
              <w:left w:val="nil"/>
              <w:bottom w:val="nil"/>
              <w:right w:val="nil"/>
            </w:tcBorders>
          </w:tcPr>
          <w:p w14:paraId="4A7A6248"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0.074</w:t>
            </w:r>
          </w:p>
        </w:tc>
        <w:tc>
          <w:tcPr>
            <w:tcW w:w="800" w:type="dxa"/>
            <w:gridSpan w:val="2"/>
            <w:tcBorders>
              <w:top w:val="nil"/>
              <w:left w:val="nil"/>
              <w:bottom w:val="nil"/>
              <w:right w:val="nil"/>
            </w:tcBorders>
          </w:tcPr>
          <w:p w14:paraId="541952E6"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0.04</w:t>
            </w:r>
          </w:p>
        </w:tc>
        <w:tc>
          <w:tcPr>
            <w:tcW w:w="900" w:type="dxa"/>
            <w:tcBorders>
              <w:top w:val="nil"/>
              <w:left w:val="nil"/>
              <w:bottom w:val="nil"/>
              <w:right w:val="nil"/>
            </w:tcBorders>
          </w:tcPr>
          <w:p w14:paraId="6A8E2D3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0.970</w:t>
            </w:r>
          </w:p>
        </w:tc>
        <w:tc>
          <w:tcPr>
            <w:tcW w:w="1200" w:type="dxa"/>
            <w:gridSpan w:val="2"/>
            <w:tcBorders>
              <w:top w:val="nil"/>
              <w:left w:val="nil"/>
              <w:bottom w:val="nil"/>
              <w:right w:val="nil"/>
            </w:tcBorders>
          </w:tcPr>
          <w:p w14:paraId="6B69E49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-0.142</w:t>
            </w:r>
          </w:p>
        </w:tc>
        <w:tc>
          <w:tcPr>
            <w:tcW w:w="1200" w:type="dxa"/>
            <w:tcBorders>
              <w:top w:val="nil"/>
              <w:left w:val="nil"/>
              <w:bottom w:val="nil"/>
              <w:right w:val="nil"/>
            </w:tcBorders>
          </w:tcPr>
          <w:p w14:paraId="58731227"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0.148</w:t>
            </w:r>
          </w:p>
        </w:tc>
        <w:tc>
          <w:tcPr>
            <w:tcW w:w="600" w:type="dxa"/>
            <w:tcBorders>
              <w:top w:val="nil"/>
              <w:left w:val="nil"/>
              <w:bottom w:val="nil"/>
              <w:right w:val="nil"/>
            </w:tcBorders>
          </w:tcPr>
          <w:p w14:paraId="518C3CE8"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p>
        </w:tc>
      </w:tr>
      <w:tr w:rsidR="0069729B" w:rsidRPr="00EB0F4E" w14:paraId="51B5F9BB" w14:textId="77777777" w:rsidTr="00F0140C">
        <w:tc>
          <w:tcPr>
            <w:tcW w:w="1708" w:type="dxa"/>
            <w:tcBorders>
              <w:top w:val="nil"/>
              <w:left w:val="nil"/>
              <w:bottom w:val="nil"/>
              <w:right w:val="nil"/>
            </w:tcBorders>
          </w:tcPr>
          <w:p w14:paraId="60081B21"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BLAU_EDU</w:t>
            </w:r>
          </w:p>
        </w:tc>
        <w:tc>
          <w:tcPr>
            <w:tcW w:w="1200" w:type="dxa"/>
            <w:gridSpan w:val="2"/>
            <w:tcBorders>
              <w:top w:val="nil"/>
              <w:left w:val="nil"/>
              <w:bottom w:val="nil"/>
              <w:right w:val="nil"/>
            </w:tcBorders>
          </w:tcPr>
          <w:p w14:paraId="3205BA13"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0.046</w:t>
            </w:r>
          </w:p>
        </w:tc>
        <w:tc>
          <w:tcPr>
            <w:tcW w:w="1200" w:type="dxa"/>
            <w:tcBorders>
              <w:top w:val="nil"/>
              <w:left w:val="nil"/>
              <w:bottom w:val="nil"/>
              <w:right w:val="nil"/>
            </w:tcBorders>
          </w:tcPr>
          <w:p w14:paraId="20C032C3"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0.066</w:t>
            </w:r>
          </w:p>
        </w:tc>
        <w:tc>
          <w:tcPr>
            <w:tcW w:w="800" w:type="dxa"/>
            <w:gridSpan w:val="2"/>
            <w:tcBorders>
              <w:top w:val="nil"/>
              <w:left w:val="nil"/>
              <w:bottom w:val="nil"/>
              <w:right w:val="nil"/>
            </w:tcBorders>
          </w:tcPr>
          <w:p w14:paraId="08681DB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0.69</w:t>
            </w:r>
          </w:p>
        </w:tc>
        <w:tc>
          <w:tcPr>
            <w:tcW w:w="900" w:type="dxa"/>
            <w:tcBorders>
              <w:top w:val="nil"/>
              <w:left w:val="nil"/>
              <w:bottom w:val="nil"/>
              <w:right w:val="nil"/>
            </w:tcBorders>
          </w:tcPr>
          <w:p w14:paraId="1D49864C"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0.491</w:t>
            </w:r>
          </w:p>
        </w:tc>
        <w:tc>
          <w:tcPr>
            <w:tcW w:w="1200" w:type="dxa"/>
            <w:gridSpan w:val="2"/>
            <w:tcBorders>
              <w:top w:val="nil"/>
              <w:left w:val="nil"/>
              <w:bottom w:val="nil"/>
              <w:right w:val="nil"/>
            </w:tcBorders>
          </w:tcPr>
          <w:p w14:paraId="28B1D2A6"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-0.084</w:t>
            </w:r>
          </w:p>
        </w:tc>
        <w:tc>
          <w:tcPr>
            <w:tcW w:w="1200" w:type="dxa"/>
            <w:tcBorders>
              <w:top w:val="nil"/>
              <w:left w:val="nil"/>
              <w:bottom w:val="nil"/>
              <w:right w:val="nil"/>
            </w:tcBorders>
          </w:tcPr>
          <w:p w14:paraId="48EAF741"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0.176</w:t>
            </w:r>
          </w:p>
        </w:tc>
        <w:tc>
          <w:tcPr>
            <w:tcW w:w="600" w:type="dxa"/>
            <w:tcBorders>
              <w:top w:val="nil"/>
              <w:left w:val="nil"/>
              <w:bottom w:val="nil"/>
              <w:right w:val="nil"/>
            </w:tcBorders>
          </w:tcPr>
          <w:p w14:paraId="791C675B"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p>
        </w:tc>
      </w:tr>
      <w:tr w:rsidR="0069729B" w:rsidRPr="00EB0F4E" w14:paraId="07898152" w14:textId="77777777" w:rsidTr="00F0140C">
        <w:tc>
          <w:tcPr>
            <w:tcW w:w="1708" w:type="dxa"/>
            <w:tcBorders>
              <w:top w:val="nil"/>
              <w:left w:val="nil"/>
              <w:bottom w:val="nil"/>
              <w:right w:val="nil"/>
            </w:tcBorders>
          </w:tcPr>
          <w:p w14:paraId="4D3A558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FOR</w:t>
            </w:r>
          </w:p>
        </w:tc>
        <w:tc>
          <w:tcPr>
            <w:tcW w:w="1200" w:type="dxa"/>
            <w:gridSpan w:val="2"/>
            <w:tcBorders>
              <w:top w:val="nil"/>
              <w:left w:val="nil"/>
              <w:bottom w:val="nil"/>
              <w:right w:val="nil"/>
            </w:tcBorders>
          </w:tcPr>
          <w:p w14:paraId="51EFC04F"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0.328</w:t>
            </w:r>
          </w:p>
        </w:tc>
        <w:tc>
          <w:tcPr>
            <w:tcW w:w="1200" w:type="dxa"/>
            <w:tcBorders>
              <w:top w:val="nil"/>
              <w:left w:val="nil"/>
              <w:bottom w:val="nil"/>
              <w:right w:val="nil"/>
            </w:tcBorders>
          </w:tcPr>
          <w:p w14:paraId="75B16D3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0.122</w:t>
            </w:r>
          </w:p>
        </w:tc>
        <w:tc>
          <w:tcPr>
            <w:tcW w:w="800" w:type="dxa"/>
            <w:gridSpan w:val="2"/>
            <w:tcBorders>
              <w:top w:val="nil"/>
              <w:left w:val="nil"/>
              <w:bottom w:val="nil"/>
              <w:right w:val="nil"/>
            </w:tcBorders>
          </w:tcPr>
          <w:p w14:paraId="32B8B57F"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2.69</w:t>
            </w:r>
          </w:p>
        </w:tc>
        <w:tc>
          <w:tcPr>
            <w:tcW w:w="900" w:type="dxa"/>
            <w:tcBorders>
              <w:top w:val="nil"/>
              <w:left w:val="nil"/>
              <w:bottom w:val="nil"/>
              <w:right w:val="nil"/>
            </w:tcBorders>
          </w:tcPr>
          <w:p w14:paraId="7317982F"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0.007</w:t>
            </w:r>
          </w:p>
        </w:tc>
        <w:tc>
          <w:tcPr>
            <w:tcW w:w="1200" w:type="dxa"/>
            <w:gridSpan w:val="2"/>
            <w:tcBorders>
              <w:top w:val="nil"/>
              <w:left w:val="nil"/>
              <w:bottom w:val="nil"/>
              <w:right w:val="nil"/>
            </w:tcBorders>
          </w:tcPr>
          <w:p w14:paraId="6B36351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0.089</w:t>
            </w:r>
          </w:p>
        </w:tc>
        <w:tc>
          <w:tcPr>
            <w:tcW w:w="1200" w:type="dxa"/>
            <w:tcBorders>
              <w:top w:val="nil"/>
              <w:left w:val="nil"/>
              <w:bottom w:val="nil"/>
              <w:right w:val="nil"/>
            </w:tcBorders>
          </w:tcPr>
          <w:p w14:paraId="19A0850F"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0.567</w:t>
            </w:r>
          </w:p>
        </w:tc>
        <w:tc>
          <w:tcPr>
            <w:tcW w:w="600" w:type="dxa"/>
            <w:tcBorders>
              <w:top w:val="nil"/>
              <w:left w:val="nil"/>
              <w:bottom w:val="nil"/>
              <w:right w:val="nil"/>
            </w:tcBorders>
          </w:tcPr>
          <w:p w14:paraId="3E1D5D1A"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w:t>
            </w:r>
          </w:p>
        </w:tc>
      </w:tr>
      <w:tr w:rsidR="0069729B" w:rsidRPr="00EB0F4E" w14:paraId="5E7C9ED8" w14:textId="77777777" w:rsidTr="00F0140C">
        <w:tc>
          <w:tcPr>
            <w:tcW w:w="1708" w:type="dxa"/>
            <w:tcBorders>
              <w:top w:val="nil"/>
              <w:left w:val="nil"/>
              <w:bottom w:val="nil"/>
              <w:right w:val="nil"/>
            </w:tcBorders>
          </w:tcPr>
          <w:p w14:paraId="4132D638"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FAM</w:t>
            </w:r>
          </w:p>
        </w:tc>
        <w:tc>
          <w:tcPr>
            <w:tcW w:w="1200" w:type="dxa"/>
            <w:gridSpan w:val="2"/>
            <w:tcBorders>
              <w:top w:val="nil"/>
              <w:left w:val="nil"/>
              <w:bottom w:val="nil"/>
              <w:right w:val="nil"/>
            </w:tcBorders>
          </w:tcPr>
          <w:p w14:paraId="5650FB5C"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0.339</w:t>
            </w:r>
          </w:p>
        </w:tc>
        <w:tc>
          <w:tcPr>
            <w:tcW w:w="1200" w:type="dxa"/>
            <w:tcBorders>
              <w:top w:val="nil"/>
              <w:left w:val="nil"/>
              <w:bottom w:val="nil"/>
              <w:right w:val="nil"/>
            </w:tcBorders>
          </w:tcPr>
          <w:p w14:paraId="7BC7CA2A"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0.141</w:t>
            </w:r>
          </w:p>
        </w:tc>
        <w:tc>
          <w:tcPr>
            <w:tcW w:w="800" w:type="dxa"/>
            <w:gridSpan w:val="2"/>
            <w:tcBorders>
              <w:top w:val="nil"/>
              <w:left w:val="nil"/>
              <w:bottom w:val="nil"/>
              <w:right w:val="nil"/>
            </w:tcBorders>
          </w:tcPr>
          <w:p w14:paraId="3AA3B3FB"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2.41</w:t>
            </w:r>
          </w:p>
        </w:tc>
        <w:tc>
          <w:tcPr>
            <w:tcW w:w="900" w:type="dxa"/>
            <w:tcBorders>
              <w:top w:val="nil"/>
              <w:left w:val="nil"/>
              <w:bottom w:val="nil"/>
              <w:right w:val="nil"/>
            </w:tcBorders>
          </w:tcPr>
          <w:p w14:paraId="353C6E70"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0.016</w:t>
            </w:r>
          </w:p>
        </w:tc>
        <w:tc>
          <w:tcPr>
            <w:tcW w:w="1200" w:type="dxa"/>
            <w:gridSpan w:val="2"/>
            <w:tcBorders>
              <w:top w:val="nil"/>
              <w:left w:val="nil"/>
              <w:bottom w:val="nil"/>
              <w:right w:val="nil"/>
            </w:tcBorders>
          </w:tcPr>
          <w:p w14:paraId="6A6598C0"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0.063</w:t>
            </w:r>
          </w:p>
        </w:tc>
        <w:tc>
          <w:tcPr>
            <w:tcW w:w="1200" w:type="dxa"/>
            <w:tcBorders>
              <w:top w:val="nil"/>
              <w:left w:val="nil"/>
              <w:bottom w:val="nil"/>
              <w:right w:val="nil"/>
            </w:tcBorders>
          </w:tcPr>
          <w:p w14:paraId="56A1E453"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0.615</w:t>
            </w:r>
          </w:p>
        </w:tc>
        <w:tc>
          <w:tcPr>
            <w:tcW w:w="600" w:type="dxa"/>
            <w:tcBorders>
              <w:top w:val="nil"/>
              <w:left w:val="nil"/>
              <w:bottom w:val="nil"/>
              <w:right w:val="nil"/>
            </w:tcBorders>
          </w:tcPr>
          <w:p w14:paraId="1BC1378B"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w:t>
            </w:r>
          </w:p>
        </w:tc>
      </w:tr>
      <w:tr w:rsidR="0069729B" w:rsidRPr="00EB0F4E" w14:paraId="219B0144" w14:textId="77777777" w:rsidTr="00F0140C">
        <w:tc>
          <w:tcPr>
            <w:tcW w:w="1708" w:type="dxa"/>
            <w:tcBorders>
              <w:top w:val="nil"/>
              <w:left w:val="nil"/>
              <w:bottom w:val="nil"/>
              <w:right w:val="nil"/>
            </w:tcBorders>
          </w:tcPr>
          <w:p w14:paraId="6DE6AC04"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GOV</w:t>
            </w:r>
          </w:p>
        </w:tc>
        <w:tc>
          <w:tcPr>
            <w:tcW w:w="1200" w:type="dxa"/>
            <w:gridSpan w:val="2"/>
            <w:tcBorders>
              <w:top w:val="nil"/>
              <w:left w:val="nil"/>
              <w:bottom w:val="nil"/>
              <w:right w:val="nil"/>
            </w:tcBorders>
          </w:tcPr>
          <w:p w14:paraId="456216B4"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0.594</w:t>
            </w:r>
          </w:p>
        </w:tc>
        <w:tc>
          <w:tcPr>
            <w:tcW w:w="1200" w:type="dxa"/>
            <w:tcBorders>
              <w:top w:val="nil"/>
              <w:left w:val="nil"/>
              <w:bottom w:val="nil"/>
              <w:right w:val="nil"/>
            </w:tcBorders>
          </w:tcPr>
          <w:p w14:paraId="5F0DDDF7"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0.192</w:t>
            </w:r>
          </w:p>
        </w:tc>
        <w:tc>
          <w:tcPr>
            <w:tcW w:w="800" w:type="dxa"/>
            <w:gridSpan w:val="2"/>
            <w:tcBorders>
              <w:top w:val="nil"/>
              <w:left w:val="nil"/>
              <w:bottom w:val="nil"/>
              <w:right w:val="nil"/>
            </w:tcBorders>
          </w:tcPr>
          <w:p w14:paraId="3209401F"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3.10</w:t>
            </w:r>
          </w:p>
        </w:tc>
        <w:tc>
          <w:tcPr>
            <w:tcW w:w="900" w:type="dxa"/>
            <w:tcBorders>
              <w:top w:val="nil"/>
              <w:left w:val="nil"/>
              <w:bottom w:val="nil"/>
              <w:right w:val="nil"/>
            </w:tcBorders>
          </w:tcPr>
          <w:p w14:paraId="27EDB49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0.002</w:t>
            </w:r>
          </w:p>
        </w:tc>
        <w:tc>
          <w:tcPr>
            <w:tcW w:w="1200" w:type="dxa"/>
            <w:gridSpan w:val="2"/>
            <w:tcBorders>
              <w:top w:val="nil"/>
              <w:left w:val="nil"/>
              <w:bottom w:val="nil"/>
              <w:right w:val="nil"/>
            </w:tcBorders>
          </w:tcPr>
          <w:p w14:paraId="6536AC3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0.219</w:t>
            </w:r>
          </w:p>
        </w:tc>
        <w:tc>
          <w:tcPr>
            <w:tcW w:w="1200" w:type="dxa"/>
            <w:tcBorders>
              <w:top w:val="nil"/>
              <w:left w:val="nil"/>
              <w:bottom w:val="nil"/>
              <w:right w:val="nil"/>
            </w:tcBorders>
          </w:tcPr>
          <w:p w14:paraId="7D79E197"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0.970</w:t>
            </w:r>
          </w:p>
        </w:tc>
        <w:tc>
          <w:tcPr>
            <w:tcW w:w="600" w:type="dxa"/>
            <w:tcBorders>
              <w:top w:val="nil"/>
              <w:left w:val="nil"/>
              <w:bottom w:val="nil"/>
              <w:right w:val="nil"/>
            </w:tcBorders>
          </w:tcPr>
          <w:p w14:paraId="47D06AB8"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w:t>
            </w:r>
          </w:p>
        </w:tc>
      </w:tr>
      <w:tr w:rsidR="0069729B" w:rsidRPr="00EB0F4E" w14:paraId="0D2FDE08" w14:textId="77777777" w:rsidTr="00F0140C">
        <w:tc>
          <w:tcPr>
            <w:tcW w:w="1708" w:type="dxa"/>
            <w:tcBorders>
              <w:top w:val="nil"/>
              <w:left w:val="nil"/>
              <w:bottom w:val="nil"/>
              <w:right w:val="nil"/>
            </w:tcBorders>
          </w:tcPr>
          <w:p w14:paraId="528C612C"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BOARDSIZE</w:t>
            </w:r>
          </w:p>
        </w:tc>
        <w:tc>
          <w:tcPr>
            <w:tcW w:w="1200" w:type="dxa"/>
            <w:gridSpan w:val="2"/>
            <w:tcBorders>
              <w:top w:val="nil"/>
              <w:left w:val="nil"/>
              <w:bottom w:val="nil"/>
              <w:right w:val="nil"/>
            </w:tcBorders>
          </w:tcPr>
          <w:p w14:paraId="6E78BC28"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-0.026</w:t>
            </w:r>
          </w:p>
        </w:tc>
        <w:tc>
          <w:tcPr>
            <w:tcW w:w="1200" w:type="dxa"/>
            <w:tcBorders>
              <w:top w:val="nil"/>
              <w:left w:val="nil"/>
              <w:bottom w:val="nil"/>
              <w:right w:val="nil"/>
            </w:tcBorders>
          </w:tcPr>
          <w:p w14:paraId="28D74F4E"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0.010</w:t>
            </w:r>
          </w:p>
        </w:tc>
        <w:tc>
          <w:tcPr>
            <w:tcW w:w="800" w:type="dxa"/>
            <w:gridSpan w:val="2"/>
            <w:tcBorders>
              <w:top w:val="nil"/>
              <w:left w:val="nil"/>
              <w:bottom w:val="nil"/>
              <w:right w:val="nil"/>
            </w:tcBorders>
          </w:tcPr>
          <w:p w14:paraId="670A3814"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-2.44</w:t>
            </w:r>
          </w:p>
        </w:tc>
        <w:tc>
          <w:tcPr>
            <w:tcW w:w="900" w:type="dxa"/>
            <w:tcBorders>
              <w:top w:val="nil"/>
              <w:left w:val="nil"/>
              <w:bottom w:val="nil"/>
              <w:right w:val="nil"/>
            </w:tcBorders>
          </w:tcPr>
          <w:p w14:paraId="0E1641D1"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0.015</w:t>
            </w:r>
          </w:p>
        </w:tc>
        <w:tc>
          <w:tcPr>
            <w:tcW w:w="1200" w:type="dxa"/>
            <w:gridSpan w:val="2"/>
            <w:tcBorders>
              <w:top w:val="nil"/>
              <w:left w:val="nil"/>
              <w:bottom w:val="nil"/>
              <w:right w:val="nil"/>
            </w:tcBorders>
          </w:tcPr>
          <w:p w14:paraId="06E7ADA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-0.046</w:t>
            </w:r>
          </w:p>
        </w:tc>
        <w:tc>
          <w:tcPr>
            <w:tcW w:w="1200" w:type="dxa"/>
            <w:tcBorders>
              <w:top w:val="nil"/>
              <w:left w:val="nil"/>
              <w:bottom w:val="nil"/>
              <w:right w:val="nil"/>
            </w:tcBorders>
          </w:tcPr>
          <w:p w14:paraId="00FD47B2"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-0.005</w:t>
            </w:r>
          </w:p>
        </w:tc>
        <w:tc>
          <w:tcPr>
            <w:tcW w:w="600" w:type="dxa"/>
            <w:tcBorders>
              <w:top w:val="nil"/>
              <w:left w:val="nil"/>
              <w:bottom w:val="nil"/>
              <w:right w:val="nil"/>
            </w:tcBorders>
          </w:tcPr>
          <w:p w14:paraId="0FB4265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w:t>
            </w:r>
          </w:p>
        </w:tc>
      </w:tr>
      <w:tr w:rsidR="0069729B" w:rsidRPr="00EB0F4E" w14:paraId="2338BEC3" w14:textId="77777777" w:rsidTr="00F0140C">
        <w:tc>
          <w:tcPr>
            <w:tcW w:w="1708" w:type="dxa"/>
            <w:tcBorders>
              <w:top w:val="nil"/>
              <w:left w:val="nil"/>
              <w:bottom w:val="nil"/>
              <w:right w:val="nil"/>
            </w:tcBorders>
          </w:tcPr>
          <w:p w14:paraId="006592A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ROA</w:t>
            </w:r>
          </w:p>
        </w:tc>
        <w:tc>
          <w:tcPr>
            <w:tcW w:w="1200" w:type="dxa"/>
            <w:gridSpan w:val="2"/>
            <w:tcBorders>
              <w:top w:val="nil"/>
              <w:left w:val="nil"/>
              <w:bottom w:val="nil"/>
              <w:right w:val="nil"/>
            </w:tcBorders>
          </w:tcPr>
          <w:p w14:paraId="53B7627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-0.271</w:t>
            </w:r>
          </w:p>
        </w:tc>
        <w:tc>
          <w:tcPr>
            <w:tcW w:w="1200" w:type="dxa"/>
            <w:tcBorders>
              <w:top w:val="nil"/>
              <w:left w:val="nil"/>
              <w:bottom w:val="nil"/>
              <w:right w:val="nil"/>
            </w:tcBorders>
          </w:tcPr>
          <w:p w14:paraId="3D49A9B1"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0.582</w:t>
            </w:r>
          </w:p>
        </w:tc>
        <w:tc>
          <w:tcPr>
            <w:tcW w:w="800" w:type="dxa"/>
            <w:gridSpan w:val="2"/>
            <w:tcBorders>
              <w:top w:val="nil"/>
              <w:left w:val="nil"/>
              <w:bottom w:val="nil"/>
              <w:right w:val="nil"/>
            </w:tcBorders>
          </w:tcPr>
          <w:p w14:paraId="4DFFC0CB"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-0.47</w:t>
            </w:r>
          </w:p>
        </w:tc>
        <w:tc>
          <w:tcPr>
            <w:tcW w:w="900" w:type="dxa"/>
            <w:tcBorders>
              <w:top w:val="nil"/>
              <w:left w:val="nil"/>
              <w:bottom w:val="nil"/>
              <w:right w:val="nil"/>
            </w:tcBorders>
          </w:tcPr>
          <w:p w14:paraId="67940F40"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0.641</w:t>
            </w:r>
          </w:p>
        </w:tc>
        <w:tc>
          <w:tcPr>
            <w:tcW w:w="1200" w:type="dxa"/>
            <w:gridSpan w:val="2"/>
            <w:tcBorders>
              <w:top w:val="nil"/>
              <w:left w:val="nil"/>
              <w:bottom w:val="nil"/>
              <w:right w:val="nil"/>
            </w:tcBorders>
          </w:tcPr>
          <w:p w14:paraId="3619EC7B"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-1.413</w:t>
            </w:r>
          </w:p>
        </w:tc>
        <w:tc>
          <w:tcPr>
            <w:tcW w:w="1200" w:type="dxa"/>
            <w:tcBorders>
              <w:top w:val="nil"/>
              <w:left w:val="nil"/>
              <w:bottom w:val="nil"/>
              <w:right w:val="nil"/>
            </w:tcBorders>
          </w:tcPr>
          <w:p w14:paraId="1B92098C"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0.870</w:t>
            </w:r>
          </w:p>
        </w:tc>
        <w:tc>
          <w:tcPr>
            <w:tcW w:w="600" w:type="dxa"/>
            <w:tcBorders>
              <w:top w:val="nil"/>
              <w:left w:val="nil"/>
              <w:bottom w:val="nil"/>
              <w:right w:val="nil"/>
            </w:tcBorders>
          </w:tcPr>
          <w:p w14:paraId="4C84F1B0"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p>
        </w:tc>
      </w:tr>
      <w:tr w:rsidR="0069729B" w:rsidRPr="00EB0F4E" w14:paraId="7BAE5B41" w14:textId="77777777" w:rsidTr="00F0140C">
        <w:tc>
          <w:tcPr>
            <w:tcW w:w="1708" w:type="dxa"/>
            <w:tcBorders>
              <w:top w:val="nil"/>
              <w:left w:val="nil"/>
              <w:bottom w:val="nil"/>
              <w:right w:val="nil"/>
            </w:tcBorders>
          </w:tcPr>
          <w:p w14:paraId="52FAFFC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SIZE</w:t>
            </w:r>
          </w:p>
        </w:tc>
        <w:tc>
          <w:tcPr>
            <w:tcW w:w="1200" w:type="dxa"/>
            <w:gridSpan w:val="2"/>
            <w:tcBorders>
              <w:top w:val="nil"/>
              <w:left w:val="nil"/>
              <w:bottom w:val="nil"/>
              <w:right w:val="nil"/>
            </w:tcBorders>
          </w:tcPr>
          <w:p w14:paraId="023447D3"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0.411</w:t>
            </w:r>
          </w:p>
        </w:tc>
        <w:tc>
          <w:tcPr>
            <w:tcW w:w="1200" w:type="dxa"/>
            <w:tcBorders>
              <w:top w:val="nil"/>
              <w:left w:val="nil"/>
              <w:bottom w:val="nil"/>
              <w:right w:val="nil"/>
            </w:tcBorders>
          </w:tcPr>
          <w:p w14:paraId="2AB40FCB"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0.056</w:t>
            </w:r>
          </w:p>
        </w:tc>
        <w:tc>
          <w:tcPr>
            <w:tcW w:w="800" w:type="dxa"/>
            <w:gridSpan w:val="2"/>
            <w:tcBorders>
              <w:top w:val="nil"/>
              <w:left w:val="nil"/>
              <w:bottom w:val="nil"/>
              <w:right w:val="nil"/>
            </w:tcBorders>
          </w:tcPr>
          <w:p w14:paraId="58CEA3AE"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7.37</w:t>
            </w:r>
          </w:p>
        </w:tc>
        <w:tc>
          <w:tcPr>
            <w:tcW w:w="900" w:type="dxa"/>
            <w:tcBorders>
              <w:top w:val="nil"/>
              <w:left w:val="nil"/>
              <w:bottom w:val="nil"/>
              <w:right w:val="nil"/>
            </w:tcBorders>
          </w:tcPr>
          <w:p w14:paraId="0A6A3F41"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0.000</w:t>
            </w:r>
          </w:p>
        </w:tc>
        <w:tc>
          <w:tcPr>
            <w:tcW w:w="1200" w:type="dxa"/>
            <w:gridSpan w:val="2"/>
            <w:tcBorders>
              <w:top w:val="nil"/>
              <w:left w:val="nil"/>
              <w:bottom w:val="nil"/>
              <w:right w:val="nil"/>
            </w:tcBorders>
          </w:tcPr>
          <w:p w14:paraId="29094973"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0.301</w:t>
            </w:r>
          </w:p>
        </w:tc>
        <w:tc>
          <w:tcPr>
            <w:tcW w:w="1200" w:type="dxa"/>
            <w:tcBorders>
              <w:top w:val="nil"/>
              <w:left w:val="nil"/>
              <w:bottom w:val="nil"/>
              <w:right w:val="nil"/>
            </w:tcBorders>
          </w:tcPr>
          <w:p w14:paraId="64539A64"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0.520</w:t>
            </w:r>
          </w:p>
        </w:tc>
        <w:tc>
          <w:tcPr>
            <w:tcW w:w="600" w:type="dxa"/>
            <w:tcBorders>
              <w:top w:val="nil"/>
              <w:left w:val="nil"/>
              <w:bottom w:val="nil"/>
              <w:right w:val="nil"/>
            </w:tcBorders>
          </w:tcPr>
          <w:p w14:paraId="7656D17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w:t>
            </w:r>
          </w:p>
        </w:tc>
      </w:tr>
      <w:tr w:rsidR="0069729B" w:rsidRPr="00EB0F4E" w14:paraId="50818B0F" w14:textId="77777777" w:rsidTr="00F0140C">
        <w:tc>
          <w:tcPr>
            <w:tcW w:w="1708" w:type="dxa"/>
            <w:tcBorders>
              <w:top w:val="nil"/>
              <w:left w:val="nil"/>
              <w:bottom w:val="nil"/>
              <w:right w:val="nil"/>
            </w:tcBorders>
          </w:tcPr>
          <w:p w14:paraId="6AEFC03A"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 xml:space="preserve"> Constant</w:t>
            </w:r>
          </w:p>
        </w:tc>
        <w:tc>
          <w:tcPr>
            <w:tcW w:w="1200" w:type="dxa"/>
            <w:gridSpan w:val="2"/>
            <w:tcBorders>
              <w:top w:val="nil"/>
              <w:left w:val="nil"/>
              <w:bottom w:val="nil"/>
              <w:right w:val="nil"/>
            </w:tcBorders>
          </w:tcPr>
          <w:p w14:paraId="0AAE5567"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-5.387</w:t>
            </w:r>
          </w:p>
        </w:tc>
        <w:tc>
          <w:tcPr>
            <w:tcW w:w="1200" w:type="dxa"/>
            <w:tcBorders>
              <w:top w:val="nil"/>
              <w:left w:val="nil"/>
              <w:bottom w:val="nil"/>
              <w:right w:val="nil"/>
            </w:tcBorders>
          </w:tcPr>
          <w:p w14:paraId="5D0F0C4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0.710</w:t>
            </w:r>
          </w:p>
        </w:tc>
        <w:tc>
          <w:tcPr>
            <w:tcW w:w="800" w:type="dxa"/>
            <w:gridSpan w:val="2"/>
            <w:tcBorders>
              <w:top w:val="nil"/>
              <w:left w:val="nil"/>
              <w:bottom w:val="nil"/>
              <w:right w:val="nil"/>
            </w:tcBorders>
          </w:tcPr>
          <w:p w14:paraId="25572B61"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-7.58</w:t>
            </w:r>
          </w:p>
        </w:tc>
        <w:tc>
          <w:tcPr>
            <w:tcW w:w="900" w:type="dxa"/>
            <w:tcBorders>
              <w:top w:val="nil"/>
              <w:left w:val="nil"/>
              <w:bottom w:val="nil"/>
              <w:right w:val="nil"/>
            </w:tcBorders>
          </w:tcPr>
          <w:p w14:paraId="1C28006E"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0.000</w:t>
            </w:r>
          </w:p>
        </w:tc>
        <w:tc>
          <w:tcPr>
            <w:tcW w:w="1200" w:type="dxa"/>
            <w:gridSpan w:val="2"/>
            <w:tcBorders>
              <w:top w:val="nil"/>
              <w:left w:val="nil"/>
              <w:bottom w:val="nil"/>
              <w:right w:val="nil"/>
            </w:tcBorders>
          </w:tcPr>
          <w:p w14:paraId="45A54DC8"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-6.779</w:t>
            </w:r>
          </w:p>
        </w:tc>
        <w:tc>
          <w:tcPr>
            <w:tcW w:w="1200" w:type="dxa"/>
            <w:tcBorders>
              <w:top w:val="nil"/>
              <w:left w:val="nil"/>
              <w:bottom w:val="nil"/>
              <w:right w:val="nil"/>
            </w:tcBorders>
          </w:tcPr>
          <w:p w14:paraId="71A5D8FB"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-3.995</w:t>
            </w:r>
          </w:p>
        </w:tc>
        <w:tc>
          <w:tcPr>
            <w:tcW w:w="600" w:type="dxa"/>
            <w:tcBorders>
              <w:top w:val="nil"/>
              <w:left w:val="nil"/>
              <w:bottom w:val="nil"/>
              <w:right w:val="nil"/>
            </w:tcBorders>
          </w:tcPr>
          <w:p w14:paraId="0282018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w:t>
            </w:r>
          </w:p>
        </w:tc>
      </w:tr>
      <w:tr w:rsidR="0069729B" w:rsidRPr="00EB0F4E" w14:paraId="3A93E396" w14:textId="77777777" w:rsidTr="00F0140C">
        <w:tc>
          <w:tcPr>
            <w:tcW w:w="8808" w:type="dxa"/>
            <w:gridSpan w:val="11"/>
            <w:tcBorders>
              <w:top w:val="nil"/>
              <w:left w:val="nil"/>
              <w:bottom w:val="single" w:sz="4" w:space="0" w:color="auto"/>
              <w:right w:val="nil"/>
            </w:tcBorders>
          </w:tcPr>
          <w:p w14:paraId="14C09153"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p>
        </w:tc>
      </w:tr>
      <w:tr w:rsidR="0069729B" w:rsidRPr="00EB0F4E" w14:paraId="60E87562" w14:textId="77777777" w:rsidTr="00F0140C">
        <w:trPr>
          <w:gridAfter w:val="1"/>
          <w:wAfter w:w="600" w:type="dxa"/>
        </w:trPr>
        <w:tc>
          <w:tcPr>
            <w:tcW w:w="2408" w:type="dxa"/>
            <w:gridSpan w:val="2"/>
            <w:tcBorders>
              <w:top w:val="nil"/>
              <w:left w:val="nil"/>
              <w:bottom w:val="nil"/>
              <w:right w:val="nil"/>
            </w:tcBorders>
          </w:tcPr>
          <w:p w14:paraId="568EC171"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Mean dependent var</w:t>
            </w:r>
          </w:p>
        </w:tc>
        <w:tc>
          <w:tcPr>
            <w:tcW w:w="1750" w:type="dxa"/>
            <w:gridSpan w:val="3"/>
            <w:tcBorders>
              <w:top w:val="nil"/>
              <w:left w:val="nil"/>
              <w:bottom w:val="nil"/>
              <w:right w:val="nil"/>
            </w:tcBorders>
          </w:tcPr>
          <w:p w14:paraId="3D9FDE9F"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0.295</w:t>
            </w:r>
          </w:p>
        </w:tc>
        <w:tc>
          <w:tcPr>
            <w:tcW w:w="2300" w:type="dxa"/>
            <w:gridSpan w:val="3"/>
            <w:tcBorders>
              <w:top w:val="nil"/>
              <w:left w:val="nil"/>
              <w:bottom w:val="nil"/>
              <w:right w:val="nil"/>
            </w:tcBorders>
          </w:tcPr>
          <w:p w14:paraId="392C5A0C"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 xml:space="preserve">SD dependent var </w:t>
            </w:r>
          </w:p>
        </w:tc>
        <w:tc>
          <w:tcPr>
            <w:tcW w:w="1750" w:type="dxa"/>
            <w:gridSpan w:val="2"/>
            <w:tcBorders>
              <w:top w:val="nil"/>
              <w:left w:val="nil"/>
              <w:bottom w:val="nil"/>
              <w:right w:val="nil"/>
            </w:tcBorders>
          </w:tcPr>
          <w:p w14:paraId="7587417E"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0.430</w:t>
            </w:r>
          </w:p>
        </w:tc>
      </w:tr>
      <w:tr w:rsidR="0069729B" w:rsidRPr="00EB0F4E" w14:paraId="6D447DCB" w14:textId="77777777" w:rsidTr="00F0140C">
        <w:trPr>
          <w:gridAfter w:val="1"/>
          <w:wAfter w:w="600" w:type="dxa"/>
        </w:trPr>
        <w:tc>
          <w:tcPr>
            <w:tcW w:w="2408" w:type="dxa"/>
            <w:gridSpan w:val="2"/>
            <w:tcBorders>
              <w:top w:val="nil"/>
              <w:left w:val="nil"/>
              <w:bottom w:val="nil"/>
              <w:right w:val="nil"/>
            </w:tcBorders>
          </w:tcPr>
          <w:p w14:paraId="50EC1F1F"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 xml:space="preserve">Overall r-squared </w:t>
            </w:r>
          </w:p>
        </w:tc>
        <w:tc>
          <w:tcPr>
            <w:tcW w:w="1750" w:type="dxa"/>
            <w:gridSpan w:val="3"/>
            <w:tcBorders>
              <w:top w:val="nil"/>
              <w:left w:val="nil"/>
              <w:bottom w:val="nil"/>
              <w:right w:val="nil"/>
            </w:tcBorders>
          </w:tcPr>
          <w:p w14:paraId="0D72BF08"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0.635</w:t>
            </w:r>
          </w:p>
        </w:tc>
        <w:tc>
          <w:tcPr>
            <w:tcW w:w="2300" w:type="dxa"/>
            <w:gridSpan w:val="3"/>
            <w:tcBorders>
              <w:top w:val="nil"/>
              <w:left w:val="nil"/>
              <w:bottom w:val="nil"/>
              <w:right w:val="nil"/>
            </w:tcBorders>
          </w:tcPr>
          <w:p w14:paraId="0617566C"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 xml:space="preserve">Number of </w:t>
            </w:r>
            <w:proofErr w:type="spellStart"/>
            <w:r w:rsidRPr="00EB0F4E">
              <w:rPr>
                <w:rFonts w:ascii="Calibri" w:hAnsi="Calibri" w:cs="Calibri"/>
                <w:sz w:val="24"/>
                <w:szCs w:val="24"/>
              </w:rPr>
              <w:t>obs</w:t>
            </w:r>
            <w:proofErr w:type="spellEnd"/>
            <w:r w:rsidRPr="00EB0F4E">
              <w:rPr>
                <w:rFonts w:ascii="Calibri" w:hAnsi="Calibri" w:cs="Calibri"/>
                <w:sz w:val="24"/>
                <w:szCs w:val="24"/>
              </w:rPr>
              <w:t xml:space="preserve">  </w:t>
            </w:r>
          </w:p>
        </w:tc>
        <w:tc>
          <w:tcPr>
            <w:tcW w:w="1750" w:type="dxa"/>
            <w:gridSpan w:val="2"/>
            <w:tcBorders>
              <w:top w:val="nil"/>
              <w:left w:val="nil"/>
              <w:bottom w:val="nil"/>
              <w:right w:val="nil"/>
            </w:tcBorders>
          </w:tcPr>
          <w:p w14:paraId="485B2FC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210.000</w:t>
            </w:r>
          </w:p>
        </w:tc>
      </w:tr>
      <w:tr w:rsidR="0069729B" w:rsidRPr="00EB0F4E" w14:paraId="6605035C" w14:textId="77777777" w:rsidTr="00F0140C">
        <w:trPr>
          <w:gridAfter w:val="1"/>
          <w:wAfter w:w="600" w:type="dxa"/>
        </w:trPr>
        <w:tc>
          <w:tcPr>
            <w:tcW w:w="2408" w:type="dxa"/>
            <w:gridSpan w:val="2"/>
            <w:tcBorders>
              <w:top w:val="nil"/>
              <w:left w:val="nil"/>
              <w:bottom w:val="nil"/>
              <w:right w:val="nil"/>
            </w:tcBorders>
          </w:tcPr>
          <w:p w14:paraId="779ABDCB"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 xml:space="preserve">Chi-square  </w:t>
            </w:r>
          </w:p>
        </w:tc>
        <w:tc>
          <w:tcPr>
            <w:tcW w:w="1750" w:type="dxa"/>
            <w:gridSpan w:val="3"/>
            <w:tcBorders>
              <w:top w:val="nil"/>
              <w:left w:val="nil"/>
              <w:bottom w:val="nil"/>
              <w:right w:val="nil"/>
            </w:tcBorders>
          </w:tcPr>
          <w:p w14:paraId="06700811"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107.483</w:t>
            </w:r>
          </w:p>
        </w:tc>
        <w:tc>
          <w:tcPr>
            <w:tcW w:w="2300" w:type="dxa"/>
            <w:gridSpan w:val="3"/>
            <w:tcBorders>
              <w:top w:val="nil"/>
              <w:left w:val="nil"/>
              <w:bottom w:val="nil"/>
              <w:right w:val="nil"/>
            </w:tcBorders>
          </w:tcPr>
          <w:p w14:paraId="12F2164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 xml:space="preserve">Prob &gt; chi2 </w:t>
            </w:r>
          </w:p>
        </w:tc>
        <w:tc>
          <w:tcPr>
            <w:tcW w:w="1750" w:type="dxa"/>
            <w:gridSpan w:val="2"/>
            <w:tcBorders>
              <w:top w:val="nil"/>
              <w:left w:val="nil"/>
              <w:bottom w:val="nil"/>
              <w:right w:val="nil"/>
            </w:tcBorders>
          </w:tcPr>
          <w:p w14:paraId="6C4D2157"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0.000</w:t>
            </w:r>
          </w:p>
        </w:tc>
      </w:tr>
      <w:tr w:rsidR="0069729B" w:rsidRPr="00EB0F4E" w14:paraId="34F8F830" w14:textId="77777777" w:rsidTr="00F0140C">
        <w:trPr>
          <w:gridAfter w:val="1"/>
          <w:wAfter w:w="600" w:type="dxa"/>
        </w:trPr>
        <w:tc>
          <w:tcPr>
            <w:tcW w:w="2408" w:type="dxa"/>
            <w:gridSpan w:val="2"/>
            <w:tcBorders>
              <w:top w:val="nil"/>
              <w:left w:val="nil"/>
              <w:bottom w:val="nil"/>
              <w:right w:val="nil"/>
            </w:tcBorders>
          </w:tcPr>
          <w:p w14:paraId="695ECAE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R-squared within</w:t>
            </w:r>
          </w:p>
        </w:tc>
        <w:tc>
          <w:tcPr>
            <w:tcW w:w="1750" w:type="dxa"/>
            <w:gridSpan w:val="3"/>
            <w:tcBorders>
              <w:top w:val="nil"/>
              <w:left w:val="nil"/>
              <w:bottom w:val="nil"/>
              <w:right w:val="nil"/>
            </w:tcBorders>
          </w:tcPr>
          <w:p w14:paraId="749A914C"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0.124</w:t>
            </w:r>
          </w:p>
        </w:tc>
        <w:tc>
          <w:tcPr>
            <w:tcW w:w="2300" w:type="dxa"/>
            <w:gridSpan w:val="3"/>
            <w:tcBorders>
              <w:top w:val="nil"/>
              <w:left w:val="nil"/>
              <w:bottom w:val="nil"/>
              <w:right w:val="nil"/>
            </w:tcBorders>
          </w:tcPr>
          <w:p w14:paraId="68C51634"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R-squared between</w:t>
            </w:r>
          </w:p>
        </w:tc>
        <w:tc>
          <w:tcPr>
            <w:tcW w:w="1750" w:type="dxa"/>
            <w:gridSpan w:val="2"/>
            <w:tcBorders>
              <w:top w:val="nil"/>
              <w:left w:val="nil"/>
              <w:bottom w:val="nil"/>
              <w:right w:val="nil"/>
            </w:tcBorders>
          </w:tcPr>
          <w:p w14:paraId="6BF1C3FF"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0.658</w:t>
            </w:r>
          </w:p>
        </w:tc>
      </w:tr>
      <w:tr w:rsidR="0069729B" w:rsidRPr="00EB0F4E" w14:paraId="55895B05" w14:textId="77777777" w:rsidTr="00F0140C">
        <w:tc>
          <w:tcPr>
            <w:tcW w:w="8808" w:type="dxa"/>
            <w:gridSpan w:val="11"/>
            <w:tcBorders>
              <w:top w:val="nil"/>
              <w:left w:val="nil"/>
              <w:bottom w:val="single" w:sz="10" w:space="0" w:color="auto"/>
              <w:right w:val="nil"/>
            </w:tcBorders>
          </w:tcPr>
          <w:p w14:paraId="4E56084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p>
        </w:tc>
      </w:tr>
    </w:tbl>
    <w:p w14:paraId="1175C1FC" w14:textId="77777777" w:rsidR="0069729B" w:rsidRPr="00EB0F4E" w:rsidRDefault="0069729B" w:rsidP="0069729B">
      <w:pPr>
        <w:widowControl w:val="0"/>
        <w:autoSpaceDE w:val="0"/>
        <w:autoSpaceDN w:val="0"/>
        <w:adjustRightInd w:val="0"/>
        <w:spacing w:after="0" w:line="240" w:lineRule="auto"/>
        <w:jc w:val="both"/>
        <w:rPr>
          <w:rFonts w:ascii="Calibri" w:hAnsi="Calibri" w:cs="Calibri"/>
          <w:sz w:val="24"/>
          <w:szCs w:val="24"/>
        </w:rPr>
      </w:pPr>
    </w:p>
    <w:tbl>
      <w:tblPr>
        <w:tblW w:w="0" w:type="auto"/>
        <w:tblLayout w:type="fixed"/>
        <w:tblLook w:val="0000" w:firstRow="0" w:lastRow="0" w:firstColumn="0" w:lastColumn="0" w:noHBand="0" w:noVBand="0"/>
      </w:tblPr>
      <w:tblGrid>
        <w:gridCol w:w="1708"/>
        <w:gridCol w:w="700"/>
        <w:gridCol w:w="500"/>
        <w:gridCol w:w="1200"/>
        <w:gridCol w:w="50"/>
        <w:gridCol w:w="750"/>
        <w:gridCol w:w="900"/>
        <w:gridCol w:w="650"/>
        <w:gridCol w:w="550"/>
        <w:gridCol w:w="1200"/>
        <w:gridCol w:w="600"/>
      </w:tblGrid>
      <w:tr w:rsidR="0069729B" w:rsidRPr="00EB0F4E" w14:paraId="1F09CFD4" w14:textId="77777777" w:rsidTr="00F0140C">
        <w:trPr>
          <w:tblHeader/>
        </w:trPr>
        <w:tc>
          <w:tcPr>
            <w:tcW w:w="8808" w:type="dxa"/>
            <w:gridSpan w:val="11"/>
            <w:tcBorders>
              <w:top w:val="single" w:sz="4" w:space="0" w:color="auto"/>
              <w:left w:val="nil"/>
              <w:bottom w:val="single" w:sz="8" w:space="0" w:color="auto"/>
              <w:right w:val="nil"/>
            </w:tcBorders>
          </w:tcPr>
          <w:p w14:paraId="6D9F9AF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i/>
                <w:iCs/>
                <w:sz w:val="24"/>
                <w:szCs w:val="24"/>
              </w:rPr>
              <w:t>Panel B: Environmental Information Category</w:t>
            </w:r>
          </w:p>
        </w:tc>
      </w:tr>
      <w:tr w:rsidR="0069729B" w:rsidRPr="00EB0F4E" w14:paraId="41BFA8C3" w14:textId="77777777" w:rsidTr="00F0140C">
        <w:trPr>
          <w:tblHeader/>
        </w:trPr>
        <w:tc>
          <w:tcPr>
            <w:tcW w:w="1708" w:type="dxa"/>
            <w:tcBorders>
              <w:top w:val="single" w:sz="4" w:space="0" w:color="auto"/>
              <w:left w:val="nil"/>
              <w:bottom w:val="single" w:sz="8" w:space="0" w:color="auto"/>
              <w:right w:val="nil"/>
            </w:tcBorders>
          </w:tcPr>
          <w:p w14:paraId="5676AB7E" w14:textId="77777777" w:rsidR="0069729B" w:rsidRPr="00EB0F4E" w:rsidRDefault="0069729B" w:rsidP="00F0140C">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sz w:val="24"/>
                <w:szCs w:val="24"/>
              </w:rPr>
              <w:t>GRI_ENV</w:t>
            </w:r>
          </w:p>
        </w:tc>
        <w:tc>
          <w:tcPr>
            <w:tcW w:w="1200" w:type="dxa"/>
            <w:gridSpan w:val="2"/>
            <w:tcBorders>
              <w:top w:val="single" w:sz="4" w:space="0" w:color="auto"/>
              <w:left w:val="nil"/>
              <w:bottom w:val="single" w:sz="8" w:space="0" w:color="auto"/>
              <w:right w:val="nil"/>
            </w:tcBorders>
          </w:tcPr>
          <w:p w14:paraId="219DD273" w14:textId="77777777" w:rsidR="0069729B" w:rsidRPr="00EB0F4E" w:rsidRDefault="0069729B" w:rsidP="00F0140C">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sz w:val="24"/>
                <w:szCs w:val="24"/>
              </w:rPr>
              <w:t>Coef.</w:t>
            </w:r>
          </w:p>
        </w:tc>
        <w:tc>
          <w:tcPr>
            <w:tcW w:w="1200" w:type="dxa"/>
            <w:tcBorders>
              <w:top w:val="single" w:sz="4" w:space="0" w:color="auto"/>
              <w:left w:val="nil"/>
              <w:bottom w:val="single" w:sz="8" w:space="0" w:color="auto"/>
              <w:right w:val="nil"/>
            </w:tcBorders>
          </w:tcPr>
          <w:p w14:paraId="3E9F38CE" w14:textId="77777777" w:rsidR="0069729B" w:rsidRPr="00EB0F4E" w:rsidRDefault="0069729B" w:rsidP="00F0140C">
            <w:pPr>
              <w:widowControl w:val="0"/>
              <w:autoSpaceDE w:val="0"/>
              <w:autoSpaceDN w:val="0"/>
              <w:adjustRightInd w:val="0"/>
              <w:spacing w:after="0" w:line="240" w:lineRule="auto"/>
              <w:jc w:val="both"/>
              <w:rPr>
                <w:rFonts w:ascii="Calibri" w:hAnsi="Calibri" w:cs="Calibri"/>
                <w:b/>
                <w:bCs/>
                <w:sz w:val="24"/>
                <w:szCs w:val="24"/>
              </w:rPr>
            </w:pPr>
            <w:proofErr w:type="spellStart"/>
            <w:proofErr w:type="gramStart"/>
            <w:r w:rsidRPr="00EB0F4E">
              <w:rPr>
                <w:rFonts w:ascii="Calibri" w:hAnsi="Calibri" w:cs="Calibri"/>
                <w:b/>
                <w:bCs/>
                <w:sz w:val="24"/>
                <w:szCs w:val="24"/>
              </w:rPr>
              <w:t>St.Err</w:t>
            </w:r>
            <w:proofErr w:type="spellEnd"/>
            <w:proofErr w:type="gramEnd"/>
            <w:r w:rsidRPr="00EB0F4E">
              <w:rPr>
                <w:rFonts w:ascii="Calibri" w:hAnsi="Calibri" w:cs="Calibri"/>
                <w:b/>
                <w:bCs/>
                <w:sz w:val="24"/>
                <w:szCs w:val="24"/>
              </w:rPr>
              <w:t>.</w:t>
            </w:r>
          </w:p>
        </w:tc>
        <w:tc>
          <w:tcPr>
            <w:tcW w:w="800" w:type="dxa"/>
            <w:gridSpan w:val="2"/>
            <w:tcBorders>
              <w:top w:val="single" w:sz="4" w:space="0" w:color="auto"/>
              <w:left w:val="nil"/>
              <w:bottom w:val="single" w:sz="8" w:space="0" w:color="auto"/>
              <w:right w:val="nil"/>
            </w:tcBorders>
          </w:tcPr>
          <w:p w14:paraId="7D53050F" w14:textId="77777777" w:rsidR="0069729B" w:rsidRPr="00EB0F4E" w:rsidRDefault="0069729B" w:rsidP="00F0140C">
            <w:pPr>
              <w:widowControl w:val="0"/>
              <w:autoSpaceDE w:val="0"/>
              <w:autoSpaceDN w:val="0"/>
              <w:adjustRightInd w:val="0"/>
              <w:spacing w:after="0" w:line="240" w:lineRule="auto"/>
              <w:ind w:right="-240"/>
              <w:jc w:val="both"/>
              <w:rPr>
                <w:rFonts w:ascii="Calibri" w:hAnsi="Calibri" w:cs="Calibri"/>
                <w:b/>
                <w:bCs/>
                <w:sz w:val="24"/>
                <w:szCs w:val="24"/>
              </w:rPr>
            </w:pPr>
            <w:r w:rsidRPr="00EB0F4E">
              <w:rPr>
                <w:rFonts w:ascii="Calibri" w:hAnsi="Calibri" w:cs="Calibri"/>
                <w:b/>
                <w:bCs/>
                <w:sz w:val="24"/>
                <w:szCs w:val="24"/>
              </w:rPr>
              <w:t>t-value</w:t>
            </w:r>
          </w:p>
        </w:tc>
        <w:tc>
          <w:tcPr>
            <w:tcW w:w="900" w:type="dxa"/>
            <w:tcBorders>
              <w:top w:val="single" w:sz="4" w:space="0" w:color="auto"/>
              <w:left w:val="nil"/>
              <w:bottom w:val="single" w:sz="8" w:space="0" w:color="auto"/>
              <w:right w:val="nil"/>
            </w:tcBorders>
          </w:tcPr>
          <w:p w14:paraId="74F60290" w14:textId="77777777" w:rsidR="0069729B" w:rsidRPr="00EB0F4E" w:rsidRDefault="0069729B" w:rsidP="00F0140C">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sz w:val="24"/>
                <w:szCs w:val="24"/>
              </w:rPr>
              <w:t>p-value</w:t>
            </w:r>
          </w:p>
        </w:tc>
        <w:tc>
          <w:tcPr>
            <w:tcW w:w="1200" w:type="dxa"/>
            <w:gridSpan w:val="2"/>
            <w:tcBorders>
              <w:top w:val="single" w:sz="4" w:space="0" w:color="auto"/>
              <w:left w:val="nil"/>
              <w:bottom w:val="single" w:sz="8" w:space="0" w:color="auto"/>
              <w:right w:val="nil"/>
            </w:tcBorders>
          </w:tcPr>
          <w:p w14:paraId="1CCD40BB" w14:textId="77777777" w:rsidR="0069729B" w:rsidRPr="00EB0F4E" w:rsidRDefault="0069729B" w:rsidP="00F0140C">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sz w:val="24"/>
                <w:szCs w:val="24"/>
              </w:rPr>
              <w:t>[95% Conf</w:t>
            </w:r>
          </w:p>
        </w:tc>
        <w:tc>
          <w:tcPr>
            <w:tcW w:w="1200" w:type="dxa"/>
            <w:tcBorders>
              <w:top w:val="single" w:sz="4" w:space="0" w:color="auto"/>
              <w:left w:val="nil"/>
              <w:bottom w:val="single" w:sz="8" w:space="0" w:color="auto"/>
              <w:right w:val="nil"/>
            </w:tcBorders>
          </w:tcPr>
          <w:p w14:paraId="09390780" w14:textId="77777777" w:rsidR="0069729B" w:rsidRPr="00EB0F4E" w:rsidRDefault="0069729B" w:rsidP="00F0140C">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sz w:val="24"/>
                <w:szCs w:val="24"/>
              </w:rPr>
              <w:t>Interval]</w:t>
            </w:r>
          </w:p>
        </w:tc>
        <w:tc>
          <w:tcPr>
            <w:tcW w:w="600" w:type="dxa"/>
            <w:tcBorders>
              <w:top w:val="single" w:sz="4" w:space="0" w:color="auto"/>
              <w:left w:val="nil"/>
              <w:bottom w:val="single" w:sz="8" w:space="0" w:color="auto"/>
              <w:right w:val="nil"/>
            </w:tcBorders>
          </w:tcPr>
          <w:p w14:paraId="6BE16A80" w14:textId="77777777" w:rsidR="0069729B" w:rsidRPr="00EB0F4E" w:rsidRDefault="0069729B" w:rsidP="00F0140C">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sz w:val="24"/>
                <w:szCs w:val="24"/>
              </w:rPr>
              <w:t>Sig</w:t>
            </w:r>
          </w:p>
        </w:tc>
      </w:tr>
      <w:tr w:rsidR="0069729B" w:rsidRPr="00EB0F4E" w14:paraId="4A29B47B" w14:textId="77777777" w:rsidTr="00F0140C">
        <w:tc>
          <w:tcPr>
            <w:tcW w:w="1708" w:type="dxa"/>
            <w:tcBorders>
              <w:top w:val="nil"/>
              <w:left w:val="nil"/>
              <w:bottom w:val="nil"/>
              <w:right w:val="nil"/>
            </w:tcBorders>
          </w:tcPr>
          <w:p w14:paraId="70BA08D8"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BLAU_GENDER</w:t>
            </w:r>
          </w:p>
        </w:tc>
        <w:tc>
          <w:tcPr>
            <w:tcW w:w="1200" w:type="dxa"/>
            <w:gridSpan w:val="2"/>
            <w:tcBorders>
              <w:top w:val="nil"/>
              <w:left w:val="nil"/>
              <w:bottom w:val="nil"/>
              <w:right w:val="nil"/>
            </w:tcBorders>
          </w:tcPr>
          <w:p w14:paraId="2BF235AA"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0.178</w:t>
            </w:r>
          </w:p>
        </w:tc>
        <w:tc>
          <w:tcPr>
            <w:tcW w:w="1200" w:type="dxa"/>
            <w:tcBorders>
              <w:top w:val="nil"/>
              <w:left w:val="nil"/>
              <w:bottom w:val="nil"/>
              <w:right w:val="nil"/>
            </w:tcBorders>
          </w:tcPr>
          <w:p w14:paraId="06018384"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0.071</w:t>
            </w:r>
          </w:p>
        </w:tc>
        <w:tc>
          <w:tcPr>
            <w:tcW w:w="800" w:type="dxa"/>
            <w:gridSpan w:val="2"/>
            <w:tcBorders>
              <w:top w:val="nil"/>
              <w:left w:val="nil"/>
              <w:bottom w:val="nil"/>
              <w:right w:val="nil"/>
            </w:tcBorders>
          </w:tcPr>
          <w:p w14:paraId="031F20BF"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2.49</w:t>
            </w:r>
          </w:p>
        </w:tc>
        <w:tc>
          <w:tcPr>
            <w:tcW w:w="900" w:type="dxa"/>
            <w:tcBorders>
              <w:top w:val="nil"/>
              <w:left w:val="nil"/>
              <w:bottom w:val="nil"/>
              <w:right w:val="nil"/>
            </w:tcBorders>
          </w:tcPr>
          <w:p w14:paraId="5C37DEEE"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0.013</w:t>
            </w:r>
          </w:p>
        </w:tc>
        <w:tc>
          <w:tcPr>
            <w:tcW w:w="1200" w:type="dxa"/>
            <w:gridSpan w:val="2"/>
            <w:tcBorders>
              <w:top w:val="nil"/>
              <w:left w:val="nil"/>
              <w:bottom w:val="nil"/>
              <w:right w:val="nil"/>
            </w:tcBorders>
          </w:tcPr>
          <w:p w14:paraId="66703C5C"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0.038</w:t>
            </w:r>
          </w:p>
        </w:tc>
        <w:tc>
          <w:tcPr>
            <w:tcW w:w="1200" w:type="dxa"/>
            <w:tcBorders>
              <w:top w:val="nil"/>
              <w:left w:val="nil"/>
              <w:bottom w:val="nil"/>
              <w:right w:val="nil"/>
            </w:tcBorders>
          </w:tcPr>
          <w:p w14:paraId="7AC8757A"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0.318</w:t>
            </w:r>
          </w:p>
        </w:tc>
        <w:tc>
          <w:tcPr>
            <w:tcW w:w="600" w:type="dxa"/>
            <w:tcBorders>
              <w:top w:val="nil"/>
              <w:left w:val="nil"/>
              <w:bottom w:val="nil"/>
              <w:right w:val="nil"/>
            </w:tcBorders>
          </w:tcPr>
          <w:p w14:paraId="774FC446"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w:t>
            </w:r>
          </w:p>
        </w:tc>
      </w:tr>
      <w:tr w:rsidR="0069729B" w:rsidRPr="00EB0F4E" w14:paraId="7E6580A3" w14:textId="77777777" w:rsidTr="00F0140C">
        <w:tc>
          <w:tcPr>
            <w:tcW w:w="1708" w:type="dxa"/>
            <w:tcBorders>
              <w:top w:val="nil"/>
              <w:left w:val="nil"/>
              <w:bottom w:val="nil"/>
              <w:right w:val="nil"/>
            </w:tcBorders>
          </w:tcPr>
          <w:p w14:paraId="3CFDA0AF"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BLAU_NAT</w:t>
            </w:r>
          </w:p>
        </w:tc>
        <w:tc>
          <w:tcPr>
            <w:tcW w:w="1200" w:type="dxa"/>
            <w:gridSpan w:val="2"/>
            <w:tcBorders>
              <w:top w:val="nil"/>
              <w:left w:val="nil"/>
              <w:bottom w:val="nil"/>
              <w:right w:val="nil"/>
            </w:tcBorders>
          </w:tcPr>
          <w:p w14:paraId="690A36C8"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0.069</w:t>
            </w:r>
          </w:p>
        </w:tc>
        <w:tc>
          <w:tcPr>
            <w:tcW w:w="1200" w:type="dxa"/>
            <w:tcBorders>
              <w:top w:val="nil"/>
              <w:left w:val="nil"/>
              <w:bottom w:val="nil"/>
              <w:right w:val="nil"/>
            </w:tcBorders>
          </w:tcPr>
          <w:p w14:paraId="47E4955C"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0.117</w:t>
            </w:r>
          </w:p>
        </w:tc>
        <w:tc>
          <w:tcPr>
            <w:tcW w:w="800" w:type="dxa"/>
            <w:gridSpan w:val="2"/>
            <w:tcBorders>
              <w:top w:val="nil"/>
              <w:left w:val="nil"/>
              <w:bottom w:val="nil"/>
              <w:right w:val="nil"/>
            </w:tcBorders>
          </w:tcPr>
          <w:p w14:paraId="2742CA2F"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0.59</w:t>
            </w:r>
          </w:p>
        </w:tc>
        <w:tc>
          <w:tcPr>
            <w:tcW w:w="900" w:type="dxa"/>
            <w:tcBorders>
              <w:top w:val="nil"/>
              <w:left w:val="nil"/>
              <w:bottom w:val="nil"/>
              <w:right w:val="nil"/>
            </w:tcBorders>
          </w:tcPr>
          <w:p w14:paraId="485325CB"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0.557</w:t>
            </w:r>
          </w:p>
        </w:tc>
        <w:tc>
          <w:tcPr>
            <w:tcW w:w="1200" w:type="dxa"/>
            <w:gridSpan w:val="2"/>
            <w:tcBorders>
              <w:top w:val="nil"/>
              <w:left w:val="nil"/>
              <w:bottom w:val="nil"/>
              <w:right w:val="nil"/>
            </w:tcBorders>
          </w:tcPr>
          <w:p w14:paraId="38DDC9D8"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-0.161</w:t>
            </w:r>
          </w:p>
        </w:tc>
        <w:tc>
          <w:tcPr>
            <w:tcW w:w="1200" w:type="dxa"/>
            <w:tcBorders>
              <w:top w:val="nil"/>
              <w:left w:val="nil"/>
              <w:bottom w:val="nil"/>
              <w:right w:val="nil"/>
            </w:tcBorders>
          </w:tcPr>
          <w:p w14:paraId="2F9528EE"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0.298</w:t>
            </w:r>
          </w:p>
        </w:tc>
        <w:tc>
          <w:tcPr>
            <w:tcW w:w="600" w:type="dxa"/>
            <w:tcBorders>
              <w:top w:val="nil"/>
              <w:left w:val="nil"/>
              <w:bottom w:val="nil"/>
              <w:right w:val="nil"/>
            </w:tcBorders>
          </w:tcPr>
          <w:p w14:paraId="084FF48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p>
        </w:tc>
      </w:tr>
      <w:tr w:rsidR="0069729B" w:rsidRPr="00EB0F4E" w14:paraId="0F48367A" w14:textId="77777777" w:rsidTr="00F0140C">
        <w:tc>
          <w:tcPr>
            <w:tcW w:w="1708" w:type="dxa"/>
            <w:tcBorders>
              <w:top w:val="nil"/>
              <w:left w:val="nil"/>
              <w:bottom w:val="nil"/>
              <w:right w:val="nil"/>
            </w:tcBorders>
          </w:tcPr>
          <w:p w14:paraId="1704EEFE"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BLAU_AGE</w:t>
            </w:r>
          </w:p>
        </w:tc>
        <w:tc>
          <w:tcPr>
            <w:tcW w:w="1200" w:type="dxa"/>
            <w:gridSpan w:val="2"/>
            <w:tcBorders>
              <w:top w:val="nil"/>
              <w:left w:val="nil"/>
              <w:bottom w:val="nil"/>
              <w:right w:val="nil"/>
            </w:tcBorders>
          </w:tcPr>
          <w:p w14:paraId="335150D4"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-0.065</w:t>
            </w:r>
          </w:p>
        </w:tc>
        <w:tc>
          <w:tcPr>
            <w:tcW w:w="1200" w:type="dxa"/>
            <w:tcBorders>
              <w:top w:val="nil"/>
              <w:left w:val="nil"/>
              <w:bottom w:val="nil"/>
              <w:right w:val="nil"/>
            </w:tcBorders>
          </w:tcPr>
          <w:p w14:paraId="5196A497"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0.064</w:t>
            </w:r>
          </w:p>
        </w:tc>
        <w:tc>
          <w:tcPr>
            <w:tcW w:w="800" w:type="dxa"/>
            <w:gridSpan w:val="2"/>
            <w:tcBorders>
              <w:top w:val="nil"/>
              <w:left w:val="nil"/>
              <w:bottom w:val="nil"/>
              <w:right w:val="nil"/>
            </w:tcBorders>
          </w:tcPr>
          <w:p w14:paraId="1B350AF3"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-1.02</w:t>
            </w:r>
          </w:p>
        </w:tc>
        <w:tc>
          <w:tcPr>
            <w:tcW w:w="900" w:type="dxa"/>
            <w:tcBorders>
              <w:top w:val="nil"/>
              <w:left w:val="nil"/>
              <w:bottom w:val="nil"/>
              <w:right w:val="nil"/>
            </w:tcBorders>
          </w:tcPr>
          <w:p w14:paraId="5CF1DAC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0.309</w:t>
            </w:r>
          </w:p>
        </w:tc>
        <w:tc>
          <w:tcPr>
            <w:tcW w:w="1200" w:type="dxa"/>
            <w:gridSpan w:val="2"/>
            <w:tcBorders>
              <w:top w:val="nil"/>
              <w:left w:val="nil"/>
              <w:bottom w:val="nil"/>
              <w:right w:val="nil"/>
            </w:tcBorders>
          </w:tcPr>
          <w:p w14:paraId="4563D21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-0.190</w:t>
            </w:r>
          </w:p>
        </w:tc>
        <w:tc>
          <w:tcPr>
            <w:tcW w:w="1200" w:type="dxa"/>
            <w:tcBorders>
              <w:top w:val="nil"/>
              <w:left w:val="nil"/>
              <w:bottom w:val="nil"/>
              <w:right w:val="nil"/>
            </w:tcBorders>
          </w:tcPr>
          <w:p w14:paraId="217FEAF1"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0.060</w:t>
            </w:r>
          </w:p>
        </w:tc>
        <w:tc>
          <w:tcPr>
            <w:tcW w:w="600" w:type="dxa"/>
            <w:tcBorders>
              <w:top w:val="nil"/>
              <w:left w:val="nil"/>
              <w:bottom w:val="nil"/>
              <w:right w:val="nil"/>
            </w:tcBorders>
          </w:tcPr>
          <w:p w14:paraId="4364DB92"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p>
        </w:tc>
      </w:tr>
      <w:tr w:rsidR="0069729B" w:rsidRPr="00EB0F4E" w14:paraId="77532068" w14:textId="77777777" w:rsidTr="00F0140C">
        <w:tc>
          <w:tcPr>
            <w:tcW w:w="1708" w:type="dxa"/>
            <w:tcBorders>
              <w:top w:val="nil"/>
              <w:left w:val="nil"/>
              <w:bottom w:val="nil"/>
              <w:right w:val="nil"/>
            </w:tcBorders>
          </w:tcPr>
          <w:p w14:paraId="605E8FE7"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BLAU_EDU</w:t>
            </w:r>
          </w:p>
        </w:tc>
        <w:tc>
          <w:tcPr>
            <w:tcW w:w="1200" w:type="dxa"/>
            <w:gridSpan w:val="2"/>
            <w:tcBorders>
              <w:top w:val="nil"/>
              <w:left w:val="nil"/>
              <w:bottom w:val="nil"/>
              <w:right w:val="nil"/>
            </w:tcBorders>
          </w:tcPr>
          <w:p w14:paraId="26C389DB"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0.053</w:t>
            </w:r>
          </w:p>
        </w:tc>
        <w:tc>
          <w:tcPr>
            <w:tcW w:w="1200" w:type="dxa"/>
            <w:tcBorders>
              <w:top w:val="nil"/>
              <w:left w:val="nil"/>
              <w:bottom w:val="nil"/>
              <w:right w:val="nil"/>
            </w:tcBorders>
          </w:tcPr>
          <w:p w14:paraId="368C507B"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0.057</w:t>
            </w:r>
          </w:p>
        </w:tc>
        <w:tc>
          <w:tcPr>
            <w:tcW w:w="800" w:type="dxa"/>
            <w:gridSpan w:val="2"/>
            <w:tcBorders>
              <w:top w:val="nil"/>
              <w:left w:val="nil"/>
              <w:bottom w:val="nil"/>
              <w:right w:val="nil"/>
            </w:tcBorders>
          </w:tcPr>
          <w:p w14:paraId="3FF841D2"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0.93</w:t>
            </w:r>
          </w:p>
        </w:tc>
        <w:tc>
          <w:tcPr>
            <w:tcW w:w="900" w:type="dxa"/>
            <w:tcBorders>
              <w:top w:val="nil"/>
              <w:left w:val="nil"/>
              <w:bottom w:val="nil"/>
              <w:right w:val="nil"/>
            </w:tcBorders>
          </w:tcPr>
          <w:p w14:paraId="3201E58A"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0.353</w:t>
            </w:r>
          </w:p>
        </w:tc>
        <w:tc>
          <w:tcPr>
            <w:tcW w:w="1200" w:type="dxa"/>
            <w:gridSpan w:val="2"/>
            <w:tcBorders>
              <w:top w:val="nil"/>
              <w:left w:val="nil"/>
              <w:bottom w:val="nil"/>
              <w:right w:val="nil"/>
            </w:tcBorders>
          </w:tcPr>
          <w:p w14:paraId="0DCFA738"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-0.059</w:t>
            </w:r>
          </w:p>
        </w:tc>
        <w:tc>
          <w:tcPr>
            <w:tcW w:w="1200" w:type="dxa"/>
            <w:tcBorders>
              <w:top w:val="nil"/>
              <w:left w:val="nil"/>
              <w:bottom w:val="nil"/>
              <w:right w:val="nil"/>
            </w:tcBorders>
          </w:tcPr>
          <w:p w14:paraId="724EB8C7"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0.165</w:t>
            </w:r>
          </w:p>
        </w:tc>
        <w:tc>
          <w:tcPr>
            <w:tcW w:w="600" w:type="dxa"/>
            <w:tcBorders>
              <w:top w:val="nil"/>
              <w:left w:val="nil"/>
              <w:bottom w:val="nil"/>
              <w:right w:val="nil"/>
            </w:tcBorders>
          </w:tcPr>
          <w:p w14:paraId="5113954A"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p>
        </w:tc>
      </w:tr>
      <w:tr w:rsidR="0069729B" w:rsidRPr="00EB0F4E" w14:paraId="0D4EBB0A" w14:textId="77777777" w:rsidTr="00F0140C">
        <w:tc>
          <w:tcPr>
            <w:tcW w:w="1708" w:type="dxa"/>
            <w:tcBorders>
              <w:top w:val="nil"/>
              <w:left w:val="nil"/>
              <w:bottom w:val="nil"/>
              <w:right w:val="nil"/>
            </w:tcBorders>
          </w:tcPr>
          <w:p w14:paraId="4B0F1E88"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FOR</w:t>
            </w:r>
          </w:p>
        </w:tc>
        <w:tc>
          <w:tcPr>
            <w:tcW w:w="1200" w:type="dxa"/>
            <w:gridSpan w:val="2"/>
            <w:tcBorders>
              <w:top w:val="nil"/>
              <w:left w:val="nil"/>
              <w:bottom w:val="nil"/>
              <w:right w:val="nil"/>
            </w:tcBorders>
          </w:tcPr>
          <w:p w14:paraId="1E131EDA"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-0.051</w:t>
            </w:r>
          </w:p>
        </w:tc>
        <w:tc>
          <w:tcPr>
            <w:tcW w:w="1200" w:type="dxa"/>
            <w:tcBorders>
              <w:top w:val="nil"/>
              <w:left w:val="nil"/>
              <w:bottom w:val="nil"/>
              <w:right w:val="nil"/>
            </w:tcBorders>
          </w:tcPr>
          <w:p w14:paraId="5E9343B2"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0.080</w:t>
            </w:r>
          </w:p>
        </w:tc>
        <w:tc>
          <w:tcPr>
            <w:tcW w:w="800" w:type="dxa"/>
            <w:gridSpan w:val="2"/>
            <w:tcBorders>
              <w:top w:val="nil"/>
              <w:left w:val="nil"/>
              <w:bottom w:val="nil"/>
              <w:right w:val="nil"/>
            </w:tcBorders>
          </w:tcPr>
          <w:p w14:paraId="5298EDD6"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-0.64</w:t>
            </w:r>
          </w:p>
        </w:tc>
        <w:tc>
          <w:tcPr>
            <w:tcW w:w="900" w:type="dxa"/>
            <w:tcBorders>
              <w:top w:val="nil"/>
              <w:left w:val="nil"/>
              <w:bottom w:val="nil"/>
              <w:right w:val="nil"/>
            </w:tcBorders>
          </w:tcPr>
          <w:p w14:paraId="4FE91357"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0.059</w:t>
            </w:r>
          </w:p>
        </w:tc>
        <w:tc>
          <w:tcPr>
            <w:tcW w:w="1200" w:type="dxa"/>
            <w:gridSpan w:val="2"/>
            <w:tcBorders>
              <w:top w:val="nil"/>
              <w:left w:val="nil"/>
              <w:bottom w:val="nil"/>
              <w:right w:val="nil"/>
            </w:tcBorders>
          </w:tcPr>
          <w:p w14:paraId="3B97E053"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-0.208</w:t>
            </w:r>
          </w:p>
        </w:tc>
        <w:tc>
          <w:tcPr>
            <w:tcW w:w="1200" w:type="dxa"/>
            <w:tcBorders>
              <w:top w:val="nil"/>
              <w:left w:val="nil"/>
              <w:bottom w:val="nil"/>
              <w:right w:val="nil"/>
            </w:tcBorders>
          </w:tcPr>
          <w:p w14:paraId="4C85A353"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0.105</w:t>
            </w:r>
          </w:p>
        </w:tc>
        <w:tc>
          <w:tcPr>
            <w:tcW w:w="600" w:type="dxa"/>
            <w:tcBorders>
              <w:top w:val="nil"/>
              <w:left w:val="nil"/>
              <w:bottom w:val="nil"/>
              <w:right w:val="nil"/>
            </w:tcBorders>
          </w:tcPr>
          <w:p w14:paraId="3DD7727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w:t>
            </w:r>
          </w:p>
        </w:tc>
      </w:tr>
      <w:tr w:rsidR="0069729B" w:rsidRPr="00EB0F4E" w14:paraId="19EBAD9C" w14:textId="77777777" w:rsidTr="00F0140C">
        <w:tc>
          <w:tcPr>
            <w:tcW w:w="1708" w:type="dxa"/>
            <w:tcBorders>
              <w:top w:val="nil"/>
              <w:left w:val="nil"/>
              <w:bottom w:val="nil"/>
              <w:right w:val="nil"/>
            </w:tcBorders>
          </w:tcPr>
          <w:p w14:paraId="206A1B84"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FAM</w:t>
            </w:r>
          </w:p>
        </w:tc>
        <w:tc>
          <w:tcPr>
            <w:tcW w:w="1200" w:type="dxa"/>
            <w:gridSpan w:val="2"/>
            <w:tcBorders>
              <w:top w:val="nil"/>
              <w:left w:val="nil"/>
              <w:bottom w:val="nil"/>
              <w:right w:val="nil"/>
            </w:tcBorders>
          </w:tcPr>
          <w:p w14:paraId="21AE693A"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-0.013</w:t>
            </w:r>
          </w:p>
        </w:tc>
        <w:tc>
          <w:tcPr>
            <w:tcW w:w="1200" w:type="dxa"/>
            <w:tcBorders>
              <w:top w:val="nil"/>
              <w:left w:val="nil"/>
              <w:bottom w:val="nil"/>
              <w:right w:val="nil"/>
            </w:tcBorders>
          </w:tcPr>
          <w:p w14:paraId="3B079A7B"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0.085</w:t>
            </w:r>
          </w:p>
        </w:tc>
        <w:tc>
          <w:tcPr>
            <w:tcW w:w="800" w:type="dxa"/>
            <w:gridSpan w:val="2"/>
            <w:tcBorders>
              <w:top w:val="nil"/>
              <w:left w:val="nil"/>
              <w:bottom w:val="nil"/>
              <w:right w:val="nil"/>
            </w:tcBorders>
          </w:tcPr>
          <w:p w14:paraId="2DBE344E"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-0.16</w:t>
            </w:r>
          </w:p>
        </w:tc>
        <w:tc>
          <w:tcPr>
            <w:tcW w:w="900" w:type="dxa"/>
            <w:tcBorders>
              <w:top w:val="nil"/>
              <w:left w:val="nil"/>
              <w:bottom w:val="nil"/>
              <w:right w:val="nil"/>
            </w:tcBorders>
          </w:tcPr>
          <w:p w14:paraId="74E9631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0.876</w:t>
            </w:r>
          </w:p>
        </w:tc>
        <w:tc>
          <w:tcPr>
            <w:tcW w:w="1200" w:type="dxa"/>
            <w:gridSpan w:val="2"/>
            <w:tcBorders>
              <w:top w:val="nil"/>
              <w:left w:val="nil"/>
              <w:bottom w:val="nil"/>
              <w:right w:val="nil"/>
            </w:tcBorders>
          </w:tcPr>
          <w:p w14:paraId="388B192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-0.181</w:t>
            </w:r>
          </w:p>
        </w:tc>
        <w:tc>
          <w:tcPr>
            <w:tcW w:w="1200" w:type="dxa"/>
            <w:tcBorders>
              <w:top w:val="nil"/>
              <w:left w:val="nil"/>
              <w:bottom w:val="nil"/>
              <w:right w:val="nil"/>
            </w:tcBorders>
          </w:tcPr>
          <w:p w14:paraId="4B510F8A"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0.154</w:t>
            </w:r>
          </w:p>
        </w:tc>
        <w:tc>
          <w:tcPr>
            <w:tcW w:w="600" w:type="dxa"/>
            <w:tcBorders>
              <w:top w:val="nil"/>
              <w:left w:val="nil"/>
              <w:bottom w:val="nil"/>
              <w:right w:val="nil"/>
            </w:tcBorders>
          </w:tcPr>
          <w:p w14:paraId="7FCDEC3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p>
        </w:tc>
      </w:tr>
      <w:tr w:rsidR="0069729B" w:rsidRPr="00EB0F4E" w14:paraId="0328FA3E" w14:textId="77777777" w:rsidTr="00F0140C">
        <w:tc>
          <w:tcPr>
            <w:tcW w:w="1708" w:type="dxa"/>
            <w:tcBorders>
              <w:top w:val="nil"/>
              <w:left w:val="nil"/>
              <w:bottom w:val="nil"/>
              <w:right w:val="nil"/>
            </w:tcBorders>
          </w:tcPr>
          <w:p w14:paraId="016FF2FF"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GOV</w:t>
            </w:r>
          </w:p>
        </w:tc>
        <w:tc>
          <w:tcPr>
            <w:tcW w:w="1200" w:type="dxa"/>
            <w:gridSpan w:val="2"/>
            <w:tcBorders>
              <w:top w:val="nil"/>
              <w:left w:val="nil"/>
              <w:bottom w:val="nil"/>
              <w:right w:val="nil"/>
            </w:tcBorders>
          </w:tcPr>
          <w:p w14:paraId="3EC9D264"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0.107</w:t>
            </w:r>
          </w:p>
        </w:tc>
        <w:tc>
          <w:tcPr>
            <w:tcW w:w="1200" w:type="dxa"/>
            <w:tcBorders>
              <w:top w:val="nil"/>
              <w:left w:val="nil"/>
              <w:bottom w:val="nil"/>
              <w:right w:val="nil"/>
            </w:tcBorders>
          </w:tcPr>
          <w:p w14:paraId="5F99112E"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0.096</w:t>
            </w:r>
          </w:p>
        </w:tc>
        <w:tc>
          <w:tcPr>
            <w:tcW w:w="800" w:type="dxa"/>
            <w:gridSpan w:val="2"/>
            <w:tcBorders>
              <w:top w:val="nil"/>
              <w:left w:val="nil"/>
              <w:bottom w:val="nil"/>
              <w:right w:val="nil"/>
            </w:tcBorders>
          </w:tcPr>
          <w:p w14:paraId="0E3508A0"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1.12</w:t>
            </w:r>
          </w:p>
        </w:tc>
        <w:tc>
          <w:tcPr>
            <w:tcW w:w="900" w:type="dxa"/>
            <w:tcBorders>
              <w:top w:val="nil"/>
              <w:left w:val="nil"/>
              <w:bottom w:val="nil"/>
              <w:right w:val="nil"/>
            </w:tcBorders>
          </w:tcPr>
          <w:p w14:paraId="23989FB8"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0.044</w:t>
            </w:r>
          </w:p>
        </w:tc>
        <w:tc>
          <w:tcPr>
            <w:tcW w:w="1200" w:type="dxa"/>
            <w:gridSpan w:val="2"/>
            <w:tcBorders>
              <w:top w:val="nil"/>
              <w:left w:val="nil"/>
              <w:bottom w:val="nil"/>
              <w:right w:val="nil"/>
            </w:tcBorders>
          </w:tcPr>
          <w:p w14:paraId="3134152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-0.081</w:t>
            </w:r>
          </w:p>
        </w:tc>
        <w:tc>
          <w:tcPr>
            <w:tcW w:w="1200" w:type="dxa"/>
            <w:tcBorders>
              <w:top w:val="nil"/>
              <w:left w:val="nil"/>
              <w:bottom w:val="nil"/>
              <w:right w:val="nil"/>
            </w:tcBorders>
          </w:tcPr>
          <w:p w14:paraId="361C8C07"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0.295</w:t>
            </w:r>
          </w:p>
        </w:tc>
        <w:tc>
          <w:tcPr>
            <w:tcW w:w="600" w:type="dxa"/>
            <w:tcBorders>
              <w:top w:val="nil"/>
              <w:left w:val="nil"/>
              <w:bottom w:val="nil"/>
              <w:right w:val="nil"/>
            </w:tcBorders>
          </w:tcPr>
          <w:p w14:paraId="0034C2FC"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w:t>
            </w:r>
          </w:p>
        </w:tc>
      </w:tr>
      <w:tr w:rsidR="0069729B" w:rsidRPr="00EB0F4E" w14:paraId="02EA573B" w14:textId="77777777" w:rsidTr="00F0140C">
        <w:tc>
          <w:tcPr>
            <w:tcW w:w="1708" w:type="dxa"/>
            <w:tcBorders>
              <w:top w:val="nil"/>
              <w:left w:val="nil"/>
              <w:bottom w:val="nil"/>
              <w:right w:val="nil"/>
            </w:tcBorders>
          </w:tcPr>
          <w:p w14:paraId="5614D4F2"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BOARDSIZE</w:t>
            </w:r>
          </w:p>
        </w:tc>
        <w:tc>
          <w:tcPr>
            <w:tcW w:w="1200" w:type="dxa"/>
            <w:gridSpan w:val="2"/>
            <w:tcBorders>
              <w:top w:val="nil"/>
              <w:left w:val="nil"/>
              <w:bottom w:val="nil"/>
              <w:right w:val="nil"/>
            </w:tcBorders>
          </w:tcPr>
          <w:p w14:paraId="783A2782"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-0.001</w:t>
            </w:r>
          </w:p>
        </w:tc>
        <w:tc>
          <w:tcPr>
            <w:tcW w:w="1200" w:type="dxa"/>
            <w:tcBorders>
              <w:top w:val="nil"/>
              <w:left w:val="nil"/>
              <w:bottom w:val="nil"/>
              <w:right w:val="nil"/>
            </w:tcBorders>
          </w:tcPr>
          <w:p w14:paraId="6A0A9DCF"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0.009</w:t>
            </w:r>
          </w:p>
        </w:tc>
        <w:tc>
          <w:tcPr>
            <w:tcW w:w="800" w:type="dxa"/>
            <w:gridSpan w:val="2"/>
            <w:tcBorders>
              <w:top w:val="nil"/>
              <w:left w:val="nil"/>
              <w:bottom w:val="nil"/>
              <w:right w:val="nil"/>
            </w:tcBorders>
          </w:tcPr>
          <w:p w14:paraId="34550A82"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-0.12</w:t>
            </w:r>
          </w:p>
        </w:tc>
        <w:tc>
          <w:tcPr>
            <w:tcW w:w="900" w:type="dxa"/>
            <w:tcBorders>
              <w:top w:val="nil"/>
              <w:left w:val="nil"/>
              <w:bottom w:val="nil"/>
              <w:right w:val="nil"/>
            </w:tcBorders>
          </w:tcPr>
          <w:p w14:paraId="3D80DDD1"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0.909</w:t>
            </w:r>
          </w:p>
        </w:tc>
        <w:tc>
          <w:tcPr>
            <w:tcW w:w="1200" w:type="dxa"/>
            <w:gridSpan w:val="2"/>
            <w:tcBorders>
              <w:top w:val="nil"/>
              <w:left w:val="nil"/>
              <w:bottom w:val="nil"/>
              <w:right w:val="nil"/>
            </w:tcBorders>
          </w:tcPr>
          <w:p w14:paraId="13CA646F"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-0.019</w:t>
            </w:r>
          </w:p>
        </w:tc>
        <w:tc>
          <w:tcPr>
            <w:tcW w:w="1200" w:type="dxa"/>
            <w:tcBorders>
              <w:top w:val="nil"/>
              <w:left w:val="nil"/>
              <w:bottom w:val="nil"/>
              <w:right w:val="nil"/>
            </w:tcBorders>
          </w:tcPr>
          <w:p w14:paraId="567BB111"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0.017</w:t>
            </w:r>
          </w:p>
        </w:tc>
        <w:tc>
          <w:tcPr>
            <w:tcW w:w="600" w:type="dxa"/>
            <w:tcBorders>
              <w:top w:val="nil"/>
              <w:left w:val="nil"/>
              <w:bottom w:val="nil"/>
              <w:right w:val="nil"/>
            </w:tcBorders>
          </w:tcPr>
          <w:p w14:paraId="6244C29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p>
        </w:tc>
      </w:tr>
      <w:tr w:rsidR="0069729B" w:rsidRPr="00EB0F4E" w14:paraId="75CD0453" w14:textId="77777777" w:rsidTr="00F0140C">
        <w:tc>
          <w:tcPr>
            <w:tcW w:w="1708" w:type="dxa"/>
            <w:tcBorders>
              <w:top w:val="nil"/>
              <w:left w:val="nil"/>
              <w:bottom w:val="nil"/>
              <w:right w:val="nil"/>
            </w:tcBorders>
          </w:tcPr>
          <w:p w14:paraId="7321184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ROA</w:t>
            </w:r>
          </w:p>
        </w:tc>
        <w:tc>
          <w:tcPr>
            <w:tcW w:w="1200" w:type="dxa"/>
            <w:gridSpan w:val="2"/>
            <w:tcBorders>
              <w:top w:val="nil"/>
              <w:left w:val="nil"/>
              <w:bottom w:val="nil"/>
              <w:right w:val="nil"/>
            </w:tcBorders>
          </w:tcPr>
          <w:p w14:paraId="57AD04DB"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-0.048</w:t>
            </w:r>
          </w:p>
        </w:tc>
        <w:tc>
          <w:tcPr>
            <w:tcW w:w="1200" w:type="dxa"/>
            <w:tcBorders>
              <w:top w:val="nil"/>
              <w:left w:val="nil"/>
              <w:bottom w:val="nil"/>
              <w:right w:val="nil"/>
            </w:tcBorders>
          </w:tcPr>
          <w:p w14:paraId="23A024CB"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0.506</w:t>
            </w:r>
          </w:p>
        </w:tc>
        <w:tc>
          <w:tcPr>
            <w:tcW w:w="800" w:type="dxa"/>
            <w:gridSpan w:val="2"/>
            <w:tcBorders>
              <w:top w:val="nil"/>
              <w:left w:val="nil"/>
              <w:bottom w:val="nil"/>
              <w:right w:val="nil"/>
            </w:tcBorders>
          </w:tcPr>
          <w:p w14:paraId="51B0546A"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-0.10</w:t>
            </w:r>
          </w:p>
        </w:tc>
        <w:tc>
          <w:tcPr>
            <w:tcW w:w="900" w:type="dxa"/>
            <w:tcBorders>
              <w:top w:val="nil"/>
              <w:left w:val="nil"/>
              <w:bottom w:val="nil"/>
              <w:right w:val="nil"/>
            </w:tcBorders>
          </w:tcPr>
          <w:p w14:paraId="74A34A16"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0.924</w:t>
            </w:r>
          </w:p>
        </w:tc>
        <w:tc>
          <w:tcPr>
            <w:tcW w:w="1200" w:type="dxa"/>
            <w:gridSpan w:val="2"/>
            <w:tcBorders>
              <w:top w:val="nil"/>
              <w:left w:val="nil"/>
              <w:bottom w:val="nil"/>
              <w:right w:val="nil"/>
            </w:tcBorders>
          </w:tcPr>
          <w:p w14:paraId="375E1731"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-1.040</w:t>
            </w:r>
          </w:p>
        </w:tc>
        <w:tc>
          <w:tcPr>
            <w:tcW w:w="1200" w:type="dxa"/>
            <w:tcBorders>
              <w:top w:val="nil"/>
              <w:left w:val="nil"/>
              <w:bottom w:val="nil"/>
              <w:right w:val="nil"/>
            </w:tcBorders>
          </w:tcPr>
          <w:p w14:paraId="2FAC8D8A"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0.943</w:t>
            </w:r>
          </w:p>
        </w:tc>
        <w:tc>
          <w:tcPr>
            <w:tcW w:w="600" w:type="dxa"/>
            <w:tcBorders>
              <w:top w:val="nil"/>
              <w:left w:val="nil"/>
              <w:bottom w:val="nil"/>
              <w:right w:val="nil"/>
            </w:tcBorders>
          </w:tcPr>
          <w:p w14:paraId="09BEBFB4"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p>
        </w:tc>
      </w:tr>
      <w:tr w:rsidR="0069729B" w:rsidRPr="00EB0F4E" w14:paraId="657BE2DC" w14:textId="77777777" w:rsidTr="00F0140C">
        <w:tc>
          <w:tcPr>
            <w:tcW w:w="1708" w:type="dxa"/>
            <w:tcBorders>
              <w:top w:val="nil"/>
              <w:left w:val="nil"/>
              <w:bottom w:val="nil"/>
              <w:right w:val="nil"/>
            </w:tcBorders>
          </w:tcPr>
          <w:p w14:paraId="552BDD3C"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SIZE</w:t>
            </w:r>
          </w:p>
        </w:tc>
        <w:tc>
          <w:tcPr>
            <w:tcW w:w="1200" w:type="dxa"/>
            <w:gridSpan w:val="2"/>
            <w:tcBorders>
              <w:top w:val="nil"/>
              <w:left w:val="nil"/>
              <w:bottom w:val="nil"/>
              <w:right w:val="nil"/>
            </w:tcBorders>
          </w:tcPr>
          <w:p w14:paraId="0ED3350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0.050</w:t>
            </w:r>
          </w:p>
        </w:tc>
        <w:tc>
          <w:tcPr>
            <w:tcW w:w="1200" w:type="dxa"/>
            <w:tcBorders>
              <w:top w:val="nil"/>
              <w:left w:val="nil"/>
              <w:bottom w:val="nil"/>
              <w:right w:val="nil"/>
            </w:tcBorders>
          </w:tcPr>
          <w:p w14:paraId="57A5BBB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0.036</w:t>
            </w:r>
          </w:p>
        </w:tc>
        <w:tc>
          <w:tcPr>
            <w:tcW w:w="800" w:type="dxa"/>
            <w:gridSpan w:val="2"/>
            <w:tcBorders>
              <w:top w:val="nil"/>
              <w:left w:val="nil"/>
              <w:bottom w:val="nil"/>
              <w:right w:val="nil"/>
            </w:tcBorders>
          </w:tcPr>
          <w:p w14:paraId="0C1F061E"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1.36</w:t>
            </w:r>
          </w:p>
        </w:tc>
        <w:tc>
          <w:tcPr>
            <w:tcW w:w="900" w:type="dxa"/>
            <w:tcBorders>
              <w:top w:val="nil"/>
              <w:left w:val="nil"/>
              <w:bottom w:val="nil"/>
              <w:right w:val="nil"/>
            </w:tcBorders>
          </w:tcPr>
          <w:p w14:paraId="1D3A6DF0"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0.172</w:t>
            </w:r>
          </w:p>
        </w:tc>
        <w:tc>
          <w:tcPr>
            <w:tcW w:w="1200" w:type="dxa"/>
            <w:gridSpan w:val="2"/>
            <w:tcBorders>
              <w:top w:val="nil"/>
              <w:left w:val="nil"/>
              <w:bottom w:val="nil"/>
              <w:right w:val="nil"/>
            </w:tcBorders>
          </w:tcPr>
          <w:p w14:paraId="65985D23"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-0.022</w:t>
            </w:r>
          </w:p>
        </w:tc>
        <w:tc>
          <w:tcPr>
            <w:tcW w:w="1200" w:type="dxa"/>
            <w:tcBorders>
              <w:top w:val="nil"/>
              <w:left w:val="nil"/>
              <w:bottom w:val="nil"/>
              <w:right w:val="nil"/>
            </w:tcBorders>
          </w:tcPr>
          <w:p w14:paraId="2139F676"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0.121</w:t>
            </w:r>
          </w:p>
        </w:tc>
        <w:tc>
          <w:tcPr>
            <w:tcW w:w="600" w:type="dxa"/>
            <w:tcBorders>
              <w:top w:val="nil"/>
              <w:left w:val="nil"/>
              <w:bottom w:val="nil"/>
              <w:right w:val="nil"/>
            </w:tcBorders>
          </w:tcPr>
          <w:p w14:paraId="47B0D22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p>
        </w:tc>
      </w:tr>
      <w:tr w:rsidR="0069729B" w:rsidRPr="00EB0F4E" w14:paraId="1BFEC699" w14:textId="77777777" w:rsidTr="00F0140C">
        <w:tc>
          <w:tcPr>
            <w:tcW w:w="1708" w:type="dxa"/>
            <w:tcBorders>
              <w:top w:val="nil"/>
              <w:left w:val="nil"/>
              <w:bottom w:val="nil"/>
              <w:right w:val="nil"/>
            </w:tcBorders>
          </w:tcPr>
          <w:p w14:paraId="5CBAFBF2"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Constant</w:t>
            </w:r>
          </w:p>
        </w:tc>
        <w:tc>
          <w:tcPr>
            <w:tcW w:w="1200" w:type="dxa"/>
            <w:gridSpan w:val="2"/>
            <w:tcBorders>
              <w:top w:val="nil"/>
              <w:left w:val="nil"/>
              <w:bottom w:val="nil"/>
              <w:right w:val="nil"/>
            </w:tcBorders>
          </w:tcPr>
          <w:p w14:paraId="0C604D9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-0.631</w:t>
            </w:r>
          </w:p>
        </w:tc>
        <w:tc>
          <w:tcPr>
            <w:tcW w:w="1200" w:type="dxa"/>
            <w:tcBorders>
              <w:top w:val="nil"/>
              <w:left w:val="nil"/>
              <w:bottom w:val="nil"/>
              <w:right w:val="nil"/>
            </w:tcBorders>
          </w:tcPr>
          <w:p w14:paraId="658CF85C"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0.446</w:t>
            </w:r>
          </w:p>
        </w:tc>
        <w:tc>
          <w:tcPr>
            <w:tcW w:w="800" w:type="dxa"/>
            <w:gridSpan w:val="2"/>
            <w:tcBorders>
              <w:top w:val="nil"/>
              <w:left w:val="nil"/>
              <w:bottom w:val="nil"/>
              <w:right w:val="nil"/>
            </w:tcBorders>
          </w:tcPr>
          <w:p w14:paraId="6C20DA34"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-1.42</w:t>
            </w:r>
          </w:p>
        </w:tc>
        <w:tc>
          <w:tcPr>
            <w:tcW w:w="900" w:type="dxa"/>
            <w:tcBorders>
              <w:top w:val="nil"/>
              <w:left w:val="nil"/>
              <w:bottom w:val="nil"/>
              <w:right w:val="nil"/>
            </w:tcBorders>
          </w:tcPr>
          <w:p w14:paraId="435FF59A"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0.157</w:t>
            </w:r>
          </w:p>
        </w:tc>
        <w:tc>
          <w:tcPr>
            <w:tcW w:w="1200" w:type="dxa"/>
            <w:gridSpan w:val="2"/>
            <w:tcBorders>
              <w:top w:val="nil"/>
              <w:left w:val="nil"/>
              <w:bottom w:val="nil"/>
              <w:right w:val="nil"/>
            </w:tcBorders>
          </w:tcPr>
          <w:p w14:paraId="535DE066"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-1.505</w:t>
            </w:r>
          </w:p>
        </w:tc>
        <w:tc>
          <w:tcPr>
            <w:tcW w:w="1200" w:type="dxa"/>
            <w:tcBorders>
              <w:top w:val="nil"/>
              <w:left w:val="nil"/>
              <w:bottom w:val="nil"/>
              <w:right w:val="nil"/>
            </w:tcBorders>
          </w:tcPr>
          <w:p w14:paraId="53767F8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0.243</w:t>
            </w:r>
          </w:p>
        </w:tc>
        <w:tc>
          <w:tcPr>
            <w:tcW w:w="600" w:type="dxa"/>
            <w:tcBorders>
              <w:top w:val="nil"/>
              <w:left w:val="nil"/>
              <w:bottom w:val="nil"/>
              <w:right w:val="nil"/>
            </w:tcBorders>
          </w:tcPr>
          <w:p w14:paraId="040702B0"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p>
        </w:tc>
      </w:tr>
      <w:tr w:rsidR="0069729B" w:rsidRPr="00EB0F4E" w14:paraId="0F99730E" w14:textId="77777777" w:rsidTr="00F0140C">
        <w:tc>
          <w:tcPr>
            <w:tcW w:w="8808" w:type="dxa"/>
            <w:gridSpan w:val="11"/>
            <w:tcBorders>
              <w:top w:val="nil"/>
              <w:left w:val="nil"/>
              <w:bottom w:val="single" w:sz="4" w:space="0" w:color="auto"/>
              <w:right w:val="nil"/>
            </w:tcBorders>
          </w:tcPr>
          <w:p w14:paraId="181598F3"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p>
        </w:tc>
      </w:tr>
      <w:tr w:rsidR="0069729B" w:rsidRPr="00EB0F4E" w14:paraId="47AB24F8" w14:textId="77777777" w:rsidTr="00F0140C">
        <w:trPr>
          <w:gridAfter w:val="1"/>
          <w:wAfter w:w="600" w:type="dxa"/>
        </w:trPr>
        <w:tc>
          <w:tcPr>
            <w:tcW w:w="2408" w:type="dxa"/>
            <w:gridSpan w:val="2"/>
            <w:tcBorders>
              <w:top w:val="nil"/>
              <w:left w:val="nil"/>
              <w:bottom w:val="nil"/>
              <w:right w:val="nil"/>
            </w:tcBorders>
          </w:tcPr>
          <w:p w14:paraId="0CDF8C3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Mean dependent var</w:t>
            </w:r>
          </w:p>
        </w:tc>
        <w:tc>
          <w:tcPr>
            <w:tcW w:w="1750" w:type="dxa"/>
            <w:gridSpan w:val="3"/>
            <w:tcBorders>
              <w:top w:val="nil"/>
              <w:left w:val="nil"/>
              <w:bottom w:val="nil"/>
              <w:right w:val="nil"/>
            </w:tcBorders>
          </w:tcPr>
          <w:p w14:paraId="771319A8"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0.055</w:t>
            </w:r>
          </w:p>
        </w:tc>
        <w:tc>
          <w:tcPr>
            <w:tcW w:w="2300" w:type="dxa"/>
            <w:gridSpan w:val="3"/>
            <w:tcBorders>
              <w:top w:val="nil"/>
              <w:left w:val="nil"/>
              <w:bottom w:val="nil"/>
              <w:right w:val="nil"/>
            </w:tcBorders>
          </w:tcPr>
          <w:p w14:paraId="32CC2FA7"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 xml:space="preserve">SD dependent var </w:t>
            </w:r>
          </w:p>
        </w:tc>
        <w:tc>
          <w:tcPr>
            <w:tcW w:w="1750" w:type="dxa"/>
            <w:gridSpan w:val="2"/>
            <w:tcBorders>
              <w:top w:val="nil"/>
              <w:left w:val="nil"/>
              <w:bottom w:val="nil"/>
              <w:right w:val="nil"/>
            </w:tcBorders>
          </w:tcPr>
          <w:p w14:paraId="5E4CE99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0.157</w:t>
            </w:r>
          </w:p>
        </w:tc>
      </w:tr>
      <w:tr w:rsidR="0069729B" w:rsidRPr="00EB0F4E" w14:paraId="0B075B8E" w14:textId="77777777" w:rsidTr="00F0140C">
        <w:trPr>
          <w:gridAfter w:val="1"/>
          <w:wAfter w:w="600" w:type="dxa"/>
        </w:trPr>
        <w:tc>
          <w:tcPr>
            <w:tcW w:w="2408" w:type="dxa"/>
            <w:gridSpan w:val="2"/>
            <w:tcBorders>
              <w:top w:val="nil"/>
              <w:left w:val="nil"/>
              <w:bottom w:val="nil"/>
              <w:right w:val="nil"/>
            </w:tcBorders>
          </w:tcPr>
          <w:p w14:paraId="0BB61E61"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lastRenderedPageBreak/>
              <w:t xml:space="preserve">Overall r-squared </w:t>
            </w:r>
          </w:p>
        </w:tc>
        <w:tc>
          <w:tcPr>
            <w:tcW w:w="1750" w:type="dxa"/>
            <w:gridSpan w:val="3"/>
            <w:tcBorders>
              <w:top w:val="nil"/>
              <w:left w:val="nil"/>
              <w:bottom w:val="nil"/>
              <w:right w:val="nil"/>
            </w:tcBorders>
          </w:tcPr>
          <w:p w14:paraId="64B8325F"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0.199</w:t>
            </w:r>
          </w:p>
        </w:tc>
        <w:tc>
          <w:tcPr>
            <w:tcW w:w="2300" w:type="dxa"/>
            <w:gridSpan w:val="3"/>
            <w:tcBorders>
              <w:top w:val="nil"/>
              <w:left w:val="nil"/>
              <w:bottom w:val="nil"/>
              <w:right w:val="nil"/>
            </w:tcBorders>
          </w:tcPr>
          <w:p w14:paraId="09715D20"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 xml:space="preserve">Number of </w:t>
            </w:r>
            <w:proofErr w:type="spellStart"/>
            <w:r w:rsidRPr="00EB0F4E">
              <w:rPr>
                <w:rFonts w:ascii="Calibri" w:hAnsi="Calibri" w:cs="Calibri"/>
                <w:sz w:val="24"/>
                <w:szCs w:val="24"/>
              </w:rPr>
              <w:t>obs</w:t>
            </w:r>
            <w:proofErr w:type="spellEnd"/>
            <w:r w:rsidRPr="00EB0F4E">
              <w:rPr>
                <w:rFonts w:ascii="Calibri" w:hAnsi="Calibri" w:cs="Calibri"/>
                <w:sz w:val="24"/>
                <w:szCs w:val="24"/>
              </w:rPr>
              <w:t xml:space="preserve">  </w:t>
            </w:r>
          </w:p>
        </w:tc>
        <w:tc>
          <w:tcPr>
            <w:tcW w:w="1750" w:type="dxa"/>
            <w:gridSpan w:val="2"/>
            <w:tcBorders>
              <w:top w:val="nil"/>
              <w:left w:val="nil"/>
              <w:bottom w:val="nil"/>
              <w:right w:val="nil"/>
            </w:tcBorders>
          </w:tcPr>
          <w:p w14:paraId="5D0E5CB4"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210.000</w:t>
            </w:r>
          </w:p>
        </w:tc>
      </w:tr>
      <w:tr w:rsidR="0069729B" w:rsidRPr="00EB0F4E" w14:paraId="4199ABB9" w14:textId="77777777" w:rsidTr="00F0140C">
        <w:trPr>
          <w:gridAfter w:val="1"/>
          <w:wAfter w:w="600" w:type="dxa"/>
        </w:trPr>
        <w:tc>
          <w:tcPr>
            <w:tcW w:w="2408" w:type="dxa"/>
            <w:gridSpan w:val="2"/>
            <w:tcBorders>
              <w:top w:val="nil"/>
              <w:left w:val="nil"/>
              <w:bottom w:val="nil"/>
              <w:right w:val="nil"/>
            </w:tcBorders>
          </w:tcPr>
          <w:p w14:paraId="34501B3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 xml:space="preserve">Chi-square  </w:t>
            </w:r>
          </w:p>
        </w:tc>
        <w:tc>
          <w:tcPr>
            <w:tcW w:w="1750" w:type="dxa"/>
            <w:gridSpan w:val="3"/>
            <w:tcBorders>
              <w:top w:val="nil"/>
              <w:left w:val="nil"/>
              <w:bottom w:val="nil"/>
              <w:right w:val="nil"/>
            </w:tcBorders>
          </w:tcPr>
          <w:p w14:paraId="00311BDF"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24.090</w:t>
            </w:r>
          </w:p>
        </w:tc>
        <w:tc>
          <w:tcPr>
            <w:tcW w:w="2300" w:type="dxa"/>
            <w:gridSpan w:val="3"/>
            <w:tcBorders>
              <w:top w:val="nil"/>
              <w:left w:val="nil"/>
              <w:bottom w:val="nil"/>
              <w:right w:val="nil"/>
            </w:tcBorders>
          </w:tcPr>
          <w:p w14:paraId="7706FC6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 xml:space="preserve">Prob &gt; chi2 </w:t>
            </w:r>
          </w:p>
        </w:tc>
        <w:tc>
          <w:tcPr>
            <w:tcW w:w="1750" w:type="dxa"/>
            <w:gridSpan w:val="2"/>
            <w:tcBorders>
              <w:top w:val="nil"/>
              <w:left w:val="nil"/>
              <w:bottom w:val="nil"/>
              <w:right w:val="nil"/>
            </w:tcBorders>
          </w:tcPr>
          <w:p w14:paraId="620DAC5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0.007</w:t>
            </w:r>
          </w:p>
        </w:tc>
      </w:tr>
      <w:tr w:rsidR="0069729B" w:rsidRPr="00EB0F4E" w14:paraId="7293184C" w14:textId="77777777" w:rsidTr="00F0140C">
        <w:trPr>
          <w:gridAfter w:val="1"/>
          <w:wAfter w:w="600" w:type="dxa"/>
        </w:trPr>
        <w:tc>
          <w:tcPr>
            <w:tcW w:w="2408" w:type="dxa"/>
            <w:gridSpan w:val="2"/>
            <w:tcBorders>
              <w:top w:val="nil"/>
              <w:left w:val="nil"/>
              <w:bottom w:val="nil"/>
              <w:right w:val="nil"/>
            </w:tcBorders>
          </w:tcPr>
          <w:p w14:paraId="3F5DA66F"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R-squared within</w:t>
            </w:r>
          </w:p>
        </w:tc>
        <w:tc>
          <w:tcPr>
            <w:tcW w:w="1750" w:type="dxa"/>
            <w:gridSpan w:val="3"/>
            <w:tcBorders>
              <w:top w:val="nil"/>
              <w:left w:val="nil"/>
              <w:bottom w:val="nil"/>
              <w:right w:val="nil"/>
            </w:tcBorders>
          </w:tcPr>
          <w:p w14:paraId="06C6BC1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0.008</w:t>
            </w:r>
          </w:p>
        </w:tc>
        <w:tc>
          <w:tcPr>
            <w:tcW w:w="2300" w:type="dxa"/>
            <w:gridSpan w:val="3"/>
            <w:tcBorders>
              <w:top w:val="nil"/>
              <w:left w:val="nil"/>
              <w:bottom w:val="nil"/>
              <w:right w:val="nil"/>
            </w:tcBorders>
          </w:tcPr>
          <w:p w14:paraId="112A173F"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R-squared between</w:t>
            </w:r>
          </w:p>
        </w:tc>
        <w:tc>
          <w:tcPr>
            <w:tcW w:w="1750" w:type="dxa"/>
            <w:gridSpan w:val="2"/>
            <w:tcBorders>
              <w:top w:val="nil"/>
              <w:left w:val="nil"/>
              <w:bottom w:val="nil"/>
              <w:right w:val="nil"/>
            </w:tcBorders>
          </w:tcPr>
          <w:p w14:paraId="16CA866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0.368</w:t>
            </w:r>
          </w:p>
        </w:tc>
      </w:tr>
      <w:tr w:rsidR="0069729B" w:rsidRPr="00EB0F4E" w14:paraId="074ED38E" w14:textId="77777777" w:rsidTr="00F0140C">
        <w:tc>
          <w:tcPr>
            <w:tcW w:w="8808" w:type="dxa"/>
            <w:gridSpan w:val="11"/>
            <w:tcBorders>
              <w:top w:val="nil"/>
              <w:left w:val="nil"/>
              <w:bottom w:val="single" w:sz="10" w:space="0" w:color="auto"/>
              <w:right w:val="nil"/>
            </w:tcBorders>
          </w:tcPr>
          <w:p w14:paraId="1018179E"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p>
        </w:tc>
      </w:tr>
    </w:tbl>
    <w:p w14:paraId="7616A92D" w14:textId="77777777" w:rsidR="0069729B" w:rsidRPr="00EB0F4E" w:rsidRDefault="0069729B" w:rsidP="0069729B">
      <w:pPr>
        <w:widowControl w:val="0"/>
        <w:autoSpaceDE w:val="0"/>
        <w:autoSpaceDN w:val="0"/>
        <w:adjustRightInd w:val="0"/>
        <w:spacing w:after="0" w:line="240" w:lineRule="auto"/>
        <w:jc w:val="both"/>
        <w:rPr>
          <w:rFonts w:ascii="Calibri" w:hAnsi="Calibri" w:cs="Calibri"/>
          <w:sz w:val="24"/>
          <w:szCs w:val="24"/>
        </w:rPr>
      </w:pPr>
    </w:p>
    <w:tbl>
      <w:tblPr>
        <w:tblW w:w="0" w:type="auto"/>
        <w:tblLayout w:type="fixed"/>
        <w:tblLook w:val="0000" w:firstRow="0" w:lastRow="0" w:firstColumn="0" w:lastColumn="0" w:noHBand="0" w:noVBand="0"/>
      </w:tblPr>
      <w:tblGrid>
        <w:gridCol w:w="1708"/>
        <w:gridCol w:w="700"/>
        <w:gridCol w:w="500"/>
        <w:gridCol w:w="1200"/>
        <w:gridCol w:w="50"/>
        <w:gridCol w:w="750"/>
        <w:gridCol w:w="900"/>
        <w:gridCol w:w="650"/>
        <w:gridCol w:w="550"/>
        <w:gridCol w:w="1200"/>
        <w:gridCol w:w="600"/>
      </w:tblGrid>
      <w:tr w:rsidR="0069729B" w:rsidRPr="00EB0F4E" w14:paraId="6950E71F" w14:textId="77777777" w:rsidTr="00F0140C">
        <w:trPr>
          <w:tblHeader/>
        </w:trPr>
        <w:tc>
          <w:tcPr>
            <w:tcW w:w="8808" w:type="dxa"/>
            <w:gridSpan w:val="11"/>
            <w:tcBorders>
              <w:top w:val="single" w:sz="4" w:space="0" w:color="auto"/>
              <w:left w:val="nil"/>
              <w:bottom w:val="single" w:sz="8" w:space="0" w:color="auto"/>
              <w:right w:val="nil"/>
            </w:tcBorders>
          </w:tcPr>
          <w:p w14:paraId="5E652532" w14:textId="77777777" w:rsidR="0069729B" w:rsidRPr="00EB0F4E" w:rsidRDefault="0069729B" w:rsidP="00F0140C">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i/>
                <w:iCs/>
                <w:sz w:val="24"/>
                <w:szCs w:val="24"/>
              </w:rPr>
              <w:t>Panel C: Social Information Category</w:t>
            </w:r>
          </w:p>
        </w:tc>
      </w:tr>
      <w:tr w:rsidR="0069729B" w:rsidRPr="00EB0F4E" w14:paraId="7DDB295A" w14:textId="77777777" w:rsidTr="00F0140C">
        <w:trPr>
          <w:tblHeader/>
        </w:trPr>
        <w:tc>
          <w:tcPr>
            <w:tcW w:w="1708" w:type="dxa"/>
            <w:tcBorders>
              <w:top w:val="single" w:sz="4" w:space="0" w:color="auto"/>
              <w:left w:val="nil"/>
              <w:bottom w:val="single" w:sz="8" w:space="0" w:color="auto"/>
              <w:right w:val="nil"/>
            </w:tcBorders>
          </w:tcPr>
          <w:p w14:paraId="5FBF890B" w14:textId="77777777" w:rsidR="0069729B" w:rsidRPr="00EB0F4E" w:rsidRDefault="0069729B" w:rsidP="00F0140C">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sz w:val="24"/>
                <w:szCs w:val="24"/>
              </w:rPr>
              <w:t>GRI_SOC</w:t>
            </w:r>
          </w:p>
        </w:tc>
        <w:tc>
          <w:tcPr>
            <w:tcW w:w="1200" w:type="dxa"/>
            <w:gridSpan w:val="2"/>
            <w:tcBorders>
              <w:top w:val="single" w:sz="4" w:space="0" w:color="auto"/>
              <w:left w:val="nil"/>
              <w:bottom w:val="single" w:sz="8" w:space="0" w:color="auto"/>
              <w:right w:val="nil"/>
            </w:tcBorders>
          </w:tcPr>
          <w:p w14:paraId="51F963B4" w14:textId="77777777" w:rsidR="0069729B" w:rsidRPr="00EB0F4E" w:rsidRDefault="0069729B" w:rsidP="00F0140C">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sz w:val="24"/>
                <w:szCs w:val="24"/>
              </w:rPr>
              <w:t>Coef.</w:t>
            </w:r>
          </w:p>
        </w:tc>
        <w:tc>
          <w:tcPr>
            <w:tcW w:w="1200" w:type="dxa"/>
            <w:tcBorders>
              <w:top w:val="single" w:sz="4" w:space="0" w:color="auto"/>
              <w:left w:val="nil"/>
              <w:bottom w:val="single" w:sz="8" w:space="0" w:color="auto"/>
              <w:right w:val="nil"/>
            </w:tcBorders>
          </w:tcPr>
          <w:p w14:paraId="6772E221" w14:textId="77777777" w:rsidR="0069729B" w:rsidRPr="00EB0F4E" w:rsidRDefault="0069729B" w:rsidP="00F0140C">
            <w:pPr>
              <w:widowControl w:val="0"/>
              <w:autoSpaceDE w:val="0"/>
              <w:autoSpaceDN w:val="0"/>
              <w:adjustRightInd w:val="0"/>
              <w:spacing w:after="0" w:line="240" w:lineRule="auto"/>
              <w:jc w:val="both"/>
              <w:rPr>
                <w:rFonts w:ascii="Calibri" w:hAnsi="Calibri" w:cs="Calibri"/>
                <w:b/>
                <w:bCs/>
                <w:sz w:val="24"/>
                <w:szCs w:val="24"/>
              </w:rPr>
            </w:pPr>
            <w:proofErr w:type="spellStart"/>
            <w:proofErr w:type="gramStart"/>
            <w:r w:rsidRPr="00EB0F4E">
              <w:rPr>
                <w:rFonts w:ascii="Calibri" w:hAnsi="Calibri" w:cs="Calibri"/>
                <w:b/>
                <w:bCs/>
                <w:sz w:val="24"/>
                <w:szCs w:val="24"/>
              </w:rPr>
              <w:t>St.Err</w:t>
            </w:r>
            <w:proofErr w:type="spellEnd"/>
            <w:proofErr w:type="gramEnd"/>
            <w:r w:rsidRPr="00EB0F4E">
              <w:rPr>
                <w:rFonts w:ascii="Calibri" w:hAnsi="Calibri" w:cs="Calibri"/>
                <w:b/>
                <w:bCs/>
                <w:sz w:val="24"/>
                <w:szCs w:val="24"/>
              </w:rPr>
              <w:t>.</w:t>
            </w:r>
          </w:p>
        </w:tc>
        <w:tc>
          <w:tcPr>
            <w:tcW w:w="800" w:type="dxa"/>
            <w:gridSpan w:val="2"/>
            <w:tcBorders>
              <w:top w:val="single" w:sz="4" w:space="0" w:color="auto"/>
              <w:left w:val="nil"/>
              <w:bottom w:val="single" w:sz="8" w:space="0" w:color="auto"/>
              <w:right w:val="nil"/>
            </w:tcBorders>
          </w:tcPr>
          <w:p w14:paraId="3D5A01DA" w14:textId="77777777" w:rsidR="0069729B" w:rsidRPr="00EB0F4E" w:rsidRDefault="0069729B" w:rsidP="00F0140C">
            <w:pPr>
              <w:widowControl w:val="0"/>
              <w:autoSpaceDE w:val="0"/>
              <w:autoSpaceDN w:val="0"/>
              <w:adjustRightInd w:val="0"/>
              <w:spacing w:after="0" w:line="240" w:lineRule="auto"/>
              <w:ind w:right="-240"/>
              <w:jc w:val="both"/>
              <w:rPr>
                <w:rFonts w:ascii="Calibri" w:hAnsi="Calibri" w:cs="Calibri"/>
                <w:b/>
                <w:bCs/>
                <w:sz w:val="24"/>
                <w:szCs w:val="24"/>
              </w:rPr>
            </w:pPr>
            <w:r w:rsidRPr="00EB0F4E">
              <w:rPr>
                <w:rFonts w:ascii="Calibri" w:hAnsi="Calibri" w:cs="Calibri"/>
                <w:b/>
                <w:bCs/>
                <w:sz w:val="24"/>
                <w:szCs w:val="24"/>
              </w:rPr>
              <w:t>t-value</w:t>
            </w:r>
          </w:p>
        </w:tc>
        <w:tc>
          <w:tcPr>
            <w:tcW w:w="900" w:type="dxa"/>
            <w:tcBorders>
              <w:top w:val="single" w:sz="4" w:space="0" w:color="auto"/>
              <w:left w:val="nil"/>
              <w:bottom w:val="single" w:sz="8" w:space="0" w:color="auto"/>
              <w:right w:val="nil"/>
            </w:tcBorders>
          </w:tcPr>
          <w:p w14:paraId="4105D752" w14:textId="77777777" w:rsidR="0069729B" w:rsidRPr="00EB0F4E" w:rsidRDefault="0069729B" w:rsidP="00F0140C">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sz w:val="24"/>
                <w:szCs w:val="24"/>
              </w:rPr>
              <w:t>p-value</w:t>
            </w:r>
          </w:p>
        </w:tc>
        <w:tc>
          <w:tcPr>
            <w:tcW w:w="1200" w:type="dxa"/>
            <w:gridSpan w:val="2"/>
            <w:tcBorders>
              <w:top w:val="single" w:sz="4" w:space="0" w:color="auto"/>
              <w:left w:val="nil"/>
              <w:bottom w:val="single" w:sz="8" w:space="0" w:color="auto"/>
              <w:right w:val="nil"/>
            </w:tcBorders>
          </w:tcPr>
          <w:p w14:paraId="18223770" w14:textId="77777777" w:rsidR="0069729B" w:rsidRPr="00EB0F4E" w:rsidRDefault="0069729B" w:rsidP="00F0140C">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sz w:val="24"/>
                <w:szCs w:val="24"/>
              </w:rPr>
              <w:t>[95% Conf</w:t>
            </w:r>
          </w:p>
        </w:tc>
        <w:tc>
          <w:tcPr>
            <w:tcW w:w="1200" w:type="dxa"/>
            <w:tcBorders>
              <w:top w:val="single" w:sz="4" w:space="0" w:color="auto"/>
              <w:left w:val="nil"/>
              <w:bottom w:val="single" w:sz="8" w:space="0" w:color="auto"/>
              <w:right w:val="nil"/>
            </w:tcBorders>
          </w:tcPr>
          <w:p w14:paraId="73B58493" w14:textId="77777777" w:rsidR="0069729B" w:rsidRPr="00EB0F4E" w:rsidRDefault="0069729B" w:rsidP="00F0140C">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sz w:val="24"/>
                <w:szCs w:val="24"/>
              </w:rPr>
              <w:t>Interval]</w:t>
            </w:r>
          </w:p>
        </w:tc>
        <w:tc>
          <w:tcPr>
            <w:tcW w:w="600" w:type="dxa"/>
            <w:tcBorders>
              <w:top w:val="single" w:sz="4" w:space="0" w:color="auto"/>
              <w:left w:val="nil"/>
              <w:bottom w:val="single" w:sz="8" w:space="0" w:color="auto"/>
              <w:right w:val="nil"/>
            </w:tcBorders>
          </w:tcPr>
          <w:p w14:paraId="15ABE0C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sz w:val="24"/>
                <w:szCs w:val="24"/>
              </w:rPr>
              <w:t>Sig</w:t>
            </w:r>
          </w:p>
        </w:tc>
      </w:tr>
      <w:tr w:rsidR="0069729B" w:rsidRPr="00EB0F4E" w14:paraId="715D5C93" w14:textId="77777777" w:rsidTr="00F0140C">
        <w:tc>
          <w:tcPr>
            <w:tcW w:w="1708" w:type="dxa"/>
            <w:tcBorders>
              <w:top w:val="nil"/>
              <w:left w:val="nil"/>
              <w:bottom w:val="nil"/>
              <w:right w:val="nil"/>
            </w:tcBorders>
          </w:tcPr>
          <w:p w14:paraId="5BCE5396"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BLAU_GENDER</w:t>
            </w:r>
          </w:p>
        </w:tc>
        <w:tc>
          <w:tcPr>
            <w:tcW w:w="1200" w:type="dxa"/>
            <w:gridSpan w:val="2"/>
            <w:tcBorders>
              <w:top w:val="nil"/>
              <w:left w:val="nil"/>
              <w:bottom w:val="nil"/>
              <w:right w:val="nil"/>
            </w:tcBorders>
          </w:tcPr>
          <w:p w14:paraId="15697EEE"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0.193</w:t>
            </w:r>
          </w:p>
        </w:tc>
        <w:tc>
          <w:tcPr>
            <w:tcW w:w="1200" w:type="dxa"/>
            <w:tcBorders>
              <w:top w:val="nil"/>
              <w:left w:val="nil"/>
              <w:bottom w:val="nil"/>
              <w:right w:val="nil"/>
            </w:tcBorders>
          </w:tcPr>
          <w:p w14:paraId="0B37375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0.067</w:t>
            </w:r>
          </w:p>
        </w:tc>
        <w:tc>
          <w:tcPr>
            <w:tcW w:w="800" w:type="dxa"/>
            <w:gridSpan w:val="2"/>
            <w:tcBorders>
              <w:top w:val="nil"/>
              <w:left w:val="nil"/>
              <w:bottom w:val="nil"/>
              <w:right w:val="nil"/>
            </w:tcBorders>
          </w:tcPr>
          <w:p w14:paraId="6052FE5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2.87</w:t>
            </w:r>
          </w:p>
        </w:tc>
        <w:tc>
          <w:tcPr>
            <w:tcW w:w="900" w:type="dxa"/>
            <w:tcBorders>
              <w:top w:val="nil"/>
              <w:left w:val="nil"/>
              <w:bottom w:val="nil"/>
              <w:right w:val="nil"/>
            </w:tcBorders>
          </w:tcPr>
          <w:p w14:paraId="6AF515FE"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0.004</w:t>
            </w:r>
          </w:p>
        </w:tc>
        <w:tc>
          <w:tcPr>
            <w:tcW w:w="1200" w:type="dxa"/>
            <w:gridSpan w:val="2"/>
            <w:tcBorders>
              <w:top w:val="nil"/>
              <w:left w:val="nil"/>
              <w:bottom w:val="nil"/>
              <w:right w:val="nil"/>
            </w:tcBorders>
          </w:tcPr>
          <w:p w14:paraId="575993CE"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0.061</w:t>
            </w:r>
          </w:p>
        </w:tc>
        <w:tc>
          <w:tcPr>
            <w:tcW w:w="1200" w:type="dxa"/>
            <w:tcBorders>
              <w:top w:val="nil"/>
              <w:left w:val="nil"/>
              <w:bottom w:val="nil"/>
              <w:right w:val="nil"/>
            </w:tcBorders>
          </w:tcPr>
          <w:p w14:paraId="22881A48"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0.325</w:t>
            </w:r>
          </w:p>
        </w:tc>
        <w:tc>
          <w:tcPr>
            <w:tcW w:w="600" w:type="dxa"/>
            <w:tcBorders>
              <w:top w:val="nil"/>
              <w:left w:val="nil"/>
              <w:bottom w:val="nil"/>
              <w:right w:val="nil"/>
            </w:tcBorders>
          </w:tcPr>
          <w:p w14:paraId="5A650AD4"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w:t>
            </w:r>
          </w:p>
        </w:tc>
      </w:tr>
      <w:tr w:rsidR="0069729B" w:rsidRPr="00EB0F4E" w14:paraId="6B7F8F82" w14:textId="77777777" w:rsidTr="00F0140C">
        <w:tc>
          <w:tcPr>
            <w:tcW w:w="1708" w:type="dxa"/>
            <w:tcBorders>
              <w:top w:val="nil"/>
              <w:left w:val="nil"/>
              <w:bottom w:val="nil"/>
              <w:right w:val="nil"/>
            </w:tcBorders>
          </w:tcPr>
          <w:p w14:paraId="25B57362"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BLAU_NAT</w:t>
            </w:r>
          </w:p>
        </w:tc>
        <w:tc>
          <w:tcPr>
            <w:tcW w:w="1200" w:type="dxa"/>
            <w:gridSpan w:val="2"/>
            <w:tcBorders>
              <w:top w:val="nil"/>
              <w:left w:val="nil"/>
              <w:bottom w:val="nil"/>
              <w:right w:val="nil"/>
            </w:tcBorders>
          </w:tcPr>
          <w:p w14:paraId="3D18335E"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-0.138</w:t>
            </w:r>
          </w:p>
        </w:tc>
        <w:tc>
          <w:tcPr>
            <w:tcW w:w="1200" w:type="dxa"/>
            <w:tcBorders>
              <w:top w:val="nil"/>
              <w:left w:val="nil"/>
              <w:bottom w:val="nil"/>
              <w:right w:val="nil"/>
            </w:tcBorders>
          </w:tcPr>
          <w:p w14:paraId="647782E6"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0.098</w:t>
            </w:r>
          </w:p>
        </w:tc>
        <w:tc>
          <w:tcPr>
            <w:tcW w:w="800" w:type="dxa"/>
            <w:gridSpan w:val="2"/>
            <w:tcBorders>
              <w:top w:val="nil"/>
              <w:left w:val="nil"/>
              <w:bottom w:val="nil"/>
              <w:right w:val="nil"/>
            </w:tcBorders>
          </w:tcPr>
          <w:p w14:paraId="57E5A50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-1.41</w:t>
            </w:r>
          </w:p>
        </w:tc>
        <w:tc>
          <w:tcPr>
            <w:tcW w:w="900" w:type="dxa"/>
            <w:tcBorders>
              <w:top w:val="nil"/>
              <w:left w:val="nil"/>
              <w:bottom w:val="nil"/>
              <w:right w:val="nil"/>
            </w:tcBorders>
          </w:tcPr>
          <w:p w14:paraId="1FF88723"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0.157</w:t>
            </w:r>
          </w:p>
        </w:tc>
        <w:tc>
          <w:tcPr>
            <w:tcW w:w="1200" w:type="dxa"/>
            <w:gridSpan w:val="2"/>
            <w:tcBorders>
              <w:top w:val="nil"/>
              <w:left w:val="nil"/>
              <w:bottom w:val="nil"/>
              <w:right w:val="nil"/>
            </w:tcBorders>
          </w:tcPr>
          <w:p w14:paraId="1C6506C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-0.330</w:t>
            </w:r>
          </w:p>
        </w:tc>
        <w:tc>
          <w:tcPr>
            <w:tcW w:w="1200" w:type="dxa"/>
            <w:tcBorders>
              <w:top w:val="nil"/>
              <w:left w:val="nil"/>
              <w:bottom w:val="nil"/>
              <w:right w:val="nil"/>
            </w:tcBorders>
          </w:tcPr>
          <w:p w14:paraId="6AC201EB"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0.053</w:t>
            </w:r>
          </w:p>
        </w:tc>
        <w:tc>
          <w:tcPr>
            <w:tcW w:w="600" w:type="dxa"/>
            <w:tcBorders>
              <w:top w:val="nil"/>
              <w:left w:val="nil"/>
              <w:bottom w:val="nil"/>
              <w:right w:val="nil"/>
            </w:tcBorders>
          </w:tcPr>
          <w:p w14:paraId="2FD0775A"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p>
        </w:tc>
      </w:tr>
      <w:tr w:rsidR="0069729B" w:rsidRPr="00EB0F4E" w14:paraId="5555D8A8" w14:textId="77777777" w:rsidTr="00F0140C">
        <w:tc>
          <w:tcPr>
            <w:tcW w:w="1708" w:type="dxa"/>
            <w:tcBorders>
              <w:top w:val="nil"/>
              <w:left w:val="nil"/>
              <w:bottom w:val="nil"/>
              <w:right w:val="nil"/>
            </w:tcBorders>
          </w:tcPr>
          <w:p w14:paraId="17B169F0"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BLAU_AGE</w:t>
            </w:r>
          </w:p>
        </w:tc>
        <w:tc>
          <w:tcPr>
            <w:tcW w:w="1200" w:type="dxa"/>
            <w:gridSpan w:val="2"/>
            <w:tcBorders>
              <w:top w:val="nil"/>
              <w:left w:val="nil"/>
              <w:bottom w:val="nil"/>
              <w:right w:val="nil"/>
            </w:tcBorders>
          </w:tcPr>
          <w:p w14:paraId="0C39CB7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0.108</w:t>
            </w:r>
          </w:p>
        </w:tc>
        <w:tc>
          <w:tcPr>
            <w:tcW w:w="1200" w:type="dxa"/>
            <w:tcBorders>
              <w:top w:val="nil"/>
              <w:left w:val="nil"/>
              <w:bottom w:val="nil"/>
              <w:right w:val="nil"/>
            </w:tcBorders>
          </w:tcPr>
          <w:p w14:paraId="203F85A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0.048</w:t>
            </w:r>
          </w:p>
        </w:tc>
        <w:tc>
          <w:tcPr>
            <w:tcW w:w="800" w:type="dxa"/>
            <w:gridSpan w:val="2"/>
            <w:tcBorders>
              <w:top w:val="nil"/>
              <w:left w:val="nil"/>
              <w:bottom w:val="nil"/>
              <w:right w:val="nil"/>
            </w:tcBorders>
          </w:tcPr>
          <w:p w14:paraId="3FF7F17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2.27</w:t>
            </w:r>
          </w:p>
        </w:tc>
        <w:tc>
          <w:tcPr>
            <w:tcW w:w="900" w:type="dxa"/>
            <w:tcBorders>
              <w:top w:val="nil"/>
              <w:left w:val="nil"/>
              <w:bottom w:val="nil"/>
              <w:right w:val="nil"/>
            </w:tcBorders>
          </w:tcPr>
          <w:p w14:paraId="25F78E91"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0.023</w:t>
            </w:r>
          </w:p>
        </w:tc>
        <w:tc>
          <w:tcPr>
            <w:tcW w:w="1200" w:type="dxa"/>
            <w:gridSpan w:val="2"/>
            <w:tcBorders>
              <w:top w:val="nil"/>
              <w:left w:val="nil"/>
              <w:bottom w:val="nil"/>
              <w:right w:val="nil"/>
            </w:tcBorders>
          </w:tcPr>
          <w:p w14:paraId="252521D3"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0.015</w:t>
            </w:r>
          </w:p>
        </w:tc>
        <w:tc>
          <w:tcPr>
            <w:tcW w:w="1200" w:type="dxa"/>
            <w:tcBorders>
              <w:top w:val="nil"/>
              <w:left w:val="nil"/>
              <w:bottom w:val="nil"/>
              <w:right w:val="nil"/>
            </w:tcBorders>
          </w:tcPr>
          <w:p w14:paraId="1C8F6AA1"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0.202</w:t>
            </w:r>
          </w:p>
        </w:tc>
        <w:tc>
          <w:tcPr>
            <w:tcW w:w="600" w:type="dxa"/>
            <w:tcBorders>
              <w:top w:val="nil"/>
              <w:left w:val="nil"/>
              <w:bottom w:val="nil"/>
              <w:right w:val="nil"/>
            </w:tcBorders>
          </w:tcPr>
          <w:p w14:paraId="44FA6733"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w:t>
            </w:r>
          </w:p>
        </w:tc>
      </w:tr>
      <w:tr w:rsidR="0069729B" w:rsidRPr="00EB0F4E" w14:paraId="13F0207E" w14:textId="77777777" w:rsidTr="00F0140C">
        <w:tc>
          <w:tcPr>
            <w:tcW w:w="1708" w:type="dxa"/>
            <w:tcBorders>
              <w:top w:val="nil"/>
              <w:left w:val="nil"/>
              <w:bottom w:val="nil"/>
              <w:right w:val="nil"/>
            </w:tcBorders>
          </w:tcPr>
          <w:p w14:paraId="596589A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BLAU_EDU</w:t>
            </w:r>
          </w:p>
        </w:tc>
        <w:tc>
          <w:tcPr>
            <w:tcW w:w="1200" w:type="dxa"/>
            <w:gridSpan w:val="2"/>
            <w:tcBorders>
              <w:top w:val="nil"/>
              <w:left w:val="nil"/>
              <w:bottom w:val="nil"/>
              <w:right w:val="nil"/>
            </w:tcBorders>
          </w:tcPr>
          <w:p w14:paraId="275EF010"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0.077</w:t>
            </w:r>
          </w:p>
        </w:tc>
        <w:tc>
          <w:tcPr>
            <w:tcW w:w="1200" w:type="dxa"/>
            <w:tcBorders>
              <w:top w:val="nil"/>
              <w:left w:val="nil"/>
              <w:bottom w:val="nil"/>
              <w:right w:val="nil"/>
            </w:tcBorders>
          </w:tcPr>
          <w:p w14:paraId="002C5D3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0.043</w:t>
            </w:r>
          </w:p>
        </w:tc>
        <w:tc>
          <w:tcPr>
            <w:tcW w:w="800" w:type="dxa"/>
            <w:gridSpan w:val="2"/>
            <w:tcBorders>
              <w:top w:val="nil"/>
              <w:left w:val="nil"/>
              <w:bottom w:val="nil"/>
              <w:right w:val="nil"/>
            </w:tcBorders>
          </w:tcPr>
          <w:p w14:paraId="41010B27"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-1.79</w:t>
            </w:r>
          </w:p>
        </w:tc>
        <w:tc>
          <w:tcPr>
            <w:tcW w:w="900" w:type="dxa"/>
            <w:tcBorders>
              <w:top w:val="nil"/>
              <w:left w:val="nil"/>
              <w:bottom w:val="nil"/>
              <w:right w:val="nil"/>
            </w:tcBorders>
          </w:tcPr>
          <w:p w14:paraId="6015C0E4"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0.074</w:t>
            </w:r>
          </w:p>
        </w:tc>
        <w:tc>
          <w:tcPr>
            <w:tcW w:w="1200" w:type="dxa"/>
            <w:gridSpan w:val="2"/>
            <w:tcBorders>
              <w:top w:val="nil"/>
              <w:left w:val="nil"/>
              <w:bottom w:val="nil"/>
              <w:right w:val="nil"/>
            </w:tcBorders>
          </w:tcPr>
          <w:p w14:paraId="3D95DE5E"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-0.161</w:t>
            </w:r>
          </w:p>
        </w:tc>
        <w:tc>
          <w:tcPr>
            <w:tcW w:w="1200" w:type="dxa"/>
            <w:tcBorders>
              <w:top w:val="nil"/>
              <w:left w:val="nil"/>
              <w:bottom w:val="nil"/>
              <w:right w:val="nil"/>
            </w:tcBorders>
          </w:tcPr>
          <w:p w14:paraId="3980996F"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0.007</w:t>
            </w:r>
          </w:p>
        </w:tc>
        <w:tc>
          <w:tcPr>
            <w:tcW w:w="600" w:type="dxa"/>
            <w:tcBorders>
              <w:top w:val="nil"/>
              <w:left w:val="nil"/>
              <w:bottom w:val="nil"/>
              <w:right w:val="nil"/>
            </w:tcBorders>
          </w:tcPr>
          <w:p w14:paraId="158B16A3"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w:t>
            </w:r>
          </w:p>
        </w:tc>
      </w:tr>
      <w:tr w:rsidR="0069729B" w:rsidRPr="00EB0F4E" w14:paraId="5C079792" w14:textId="77777777" w:rsidTr="00F0140C">
        <w:tc>
          <w:tcPr>
            <w:tcW w:w="1708" w:type="dxa"/>
            <w:tcBorders>
              <w:top w:val="nil"/>
              <w:left w:val="nil"/>
              <w:bottom w:val="nil"/>
              <w:right w:val="nil"/>
            </w:tcBorders>
          </w:tcPr>
          <w:p w14:paraId="7E1B3ADE"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FOR</w:t>
            </w:r>
          </w:p>
        </w:tc>
        <w:tc>
          <w:tcPr>
            <w:tcW w:w="1200" w:type="dxa"/>
            <w:gridSpan w:val="2"/>
            <w:tcBorders>
              <w:top w:val="nil"/>
              <w:left w:val="nil"/>
              <w:bottom w:val="nil"/>
              <w:right w:val="nil"/>
            </w:tcBorders>
          </w:tcPr>
          <w:p w14:paraId="75AE4038"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0.137</w:t>
            </w:r>
          </w:p>
        </w:tc>
        <w:tc>
          <w:tcPr>
            <w:tcW w:w="1200" w:type="dxa"/>
            <w:tcBorders>
              <w:top w:val="nil"/>
              <w:left w:val="nil"/>
              <w:bottom w:val="nil"/>
              <w:right w:val="nil"/>
            </w:tcBorders>
          </w:tcPr>
          <w:p w14:paraId="38E2A200"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0.072</w:t>
            </w:r>
          </w:p>
        </w:tc>
        <w:tc>
          <w:tcPr>
            <w:tcW w:w="800" w:type="dxa"/>
            <w:gridSpan w:val="2"/>
            <w:tcBorders>
              <w:top w:val="nil"/>
              <w:left w:val="nil"/>
              <w:bottom w:val="nil"/>
              <w:right w:val="nil"/>
            </w:tcBorders>
          </w:tcPr>
          <w:p w14:paraId="696DA500"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1.91</w:t>
            </w:r>
          </w:p>
        </w:tc>
        <w:tc>
          <w:tcPr>
            <w:tcW w:w="900" w:type="dxa"/>
            <w:tcBorders>
              <w:top w:val="nil"/>
              <w:left w:val="nil"/>
              <w:bottom w:val="nil"/>
              <w:right w:val="nil"/>
            </w:tcBorders>
          </w:tcPr>
          <w:p w14:paraId="2E5FEA63"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0.056</w:t>
            </w:r>
          </w:p>
        </w:tc>
        <w:tc>
          <w:tcPr>
            <w:tcW w:w="1200" w:type="dxa"/>
            <w:gridSpan w:val="2"/>
            <w:tcBorders>
              <w:top w:val="nil"/>
              <w:left w:val="nil"/>
              <w:bottom w:val="nil"/>
              <w:right w:val="nil"/>
            </w:tcBorders>
          </w:tcPr>
          <w:p w14:paraId="30AF955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-0.004</w:t>
            </w:r>
          </w:p>
        </w:tc>
        <w:tc>
          <w:tcPr>
            <w:tcW w:w="1200" w:type="dxa"/>
            <w:tcBorders>
              <w:top w:val="nil"/>
              <w:left w:val="nil"/>
              <w:bottom w:val="nil"/>
              <w:right w:val="nil"/>
            </w:tcBorders>
          </w:tcPr>
          <w:p w14:paraId="5B00AEA6"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0.279</w:t>
            </w:r>
          </w:p>
        </w:tc>
        <w:tc>
          <w:tcPr>
            <w:tcW w:w="600" w:type="dxa"/>
            <w:tcBorders>
              <w:top w:val="nil"/>
              <w:left w:val="nil"/>
              <w:bottom w:val="nil"/>
              <w:right w:val="nil"/>
            </w:tcBorders>
          </w:tcPr>
          <w:p w14:paraId="44390F2A"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w:t>
            </w:r>
          </w:p>
        </w:tc>
      </w:tr>
      <w:tr w:rsidR="0069729B" w:rsidRPr="00EB0F4E" w14:paraId="4CB31612" w14:textId="77777777" w:rsidTr="00F0140C">
        <w:tc>
          <w:tcPr>
            <w:tcW w:w="1708" w:type="dxa"/>
            <w:tcBorders>
              <w:top w:val="nil"/>
              <w:left w:val="nil"/>
              <w:bottom w:val="nil"/>
              <w:right w:val="nil"/>
            </w:tcBorders>
          </w:tcPr>
          <w:p w14:paraId="2A4EA9A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FAM</w:t>
            </w:r>
          </w:p>
        </w:tc>
        <w:tc>
          <w:tcPr>
            <w:tcW w:w="1200" w:type="dxa"/>
            <w:gridSpan w:val="2"/>
            <w:tcBorders>
              <w:top w:val="nil"/>
              <w:left w:val="nil"/>
              <w:bottom w:val="nil"/>
              <w:right w:val="nil"/>
            </w:tcBorders>
          </w:tcPr>
          <w:p w14:paraId="26CF884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0.085</w:t>
            </w:r>
          </w:p>
        </w:tc>
        <w:tc>
          <w:tcPr>
            <w:tcW w:w="1200" w:type="dxa"/>
            <w:tcBorders>
              <w:top w:val="nil"/>
              <w:left w:val="nil"/>
              <w:bottom w:val="nil"/>
              <w:right w:val="nil"/>
            </w:tcBorders>
          </w:tcPr>
          <w:p w14:paraId="02AB8AAC"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0.081</w:t>
            </w:r>
          </w:p>
        </w:tc>
        <w:tc>
          <w:tcPr>
            <w:tcW w:w="800" w:type="dxa"/>
            <w:gridSpan w:val="2"/>
            <w:tcBorders>
              <w:top w:val="nil"/>
              <w:left w:val="nil"/>
              <w:bottom w:val="nil"/>
              <w:right w:val="nil"/>
            </w:tcBorders>
          </w:tcPr>
          <w:p w14:paraId="09F3A687"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1.05</w:t>
            </w:r>
          </w:p>
        </w:tc>
        <w:tc>
          <w:tcPr>
            <w:tcW w:w="900" w:type="dxa"/>
            <w:tcBorders>
              <w:top w:val="nil"/>
              <w:left w:val="nil"/>
              <w:bottom w:val="nil"/>
              <w:right w:val="nil"/>
            </w:tcBorders>
          </w:tcPr>
          <w:p w14:paraId="63484BCE"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0.292</w:t>
            </w:r>
          </w:p>
        </w:tc>
        <w:tc>
          <w:tcPr>
            <w:tcW w:w="1200" w:type="dxa"/>
            <w:gridSpan w:val="2"/>
            <w:tcBorders>
              <w:top w:val="nil"/>
              <w:left w:val="nil"/>
              <w:bottom w:val="nil"/>
              <w:right w:val="nil"/>
            </w:tcBorders>
          </w:tcPr>
          <w:p w14:paraId="6791089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-0.073</w:t>
            </w:r>
          </w:p>
        </w:tc>
        <w:tc>
          <w:tcPr>
            <w:tcW w:w="1200" w:type="dxa"/>
            <w:tcBorders>
              <w:top w:val="nil"/>
              <w:left w:val="nil"/>
              <w:bottom w:val="nil"/>
              <w:right w:val="nil"/>
            </w:tcBorders>
          </w:tcPr>
          <w:p w14:paraId="4203C048"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0.244</w:t>
            </w:r>
          </w:p>
        </w:tc>
        <w:tc>
          <w:tcPr>
            <w:tcW w:w="600" w:type="dxa"/>
            <w:tcBorders>
              <w:top w:val="nil"/>
              <w:left w:val="nil"/>
              <w:bottom w:val="nil"/>
              <w:right w:val="nil"/>
            </w:tcBorders>
          </w:tcPr>
          <w:p w14:paraId="24F456CF"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p>
        </w:tc>
      </w:tr>
      <w:tr w:rsidR="0069729B" w:rsidRPr="00EB0F4E" w14:paraId="45742949" w14:textId="77777777" w:rsidTr="00F0140C">
        <w:tc>
          <w:tcPr>
            <w:tcW w:w="1708" w:type="dxa"/>
            <w:tcBorders>
              <w:top w:val="nil"/>
              <w:left w:val="nil"/>
              <w:bottom w:val="nil"/>
              <w:right w:val="nil"/>
            </w:tcBorders>
          </w:tcPr>
          <w:p w14:paraId="0D628656"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GOV</w:t>
            </w:r>
          </w:p>
        </w:tc>
        <w:tc>
          <w:tcPr>
            <w:tcW w:w="1200" w:type="dxa"/>
            <w:gridSpan w:val="2"/>
            <w:tcBorders>
              <w:top w:val="nil"/>
              <w:left w:val="nil"/>
              <w:bottom w:val="nil"/>
              <w:right w:val="nil"/>
            </w:tcBorders>
          </w:tcPr>
          <w:p w14:paraId="17C843E6"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0.273</w:t>
            </w:r>
          </w:p>
        </w:tc>
        <w:tc>
          <w:tcPr>
            <w:tcW w:w="1200" w:type="dxa"/>
            <w:tcBorders>
              <w:top w:val="nil"/>
              <w:left w:val="nil"/>
              <w:bottom w:val="nil"/>
              <w:right w:val="nil"/>
            </w:tcBorders>
          </w:tcPr>
          <w:p w14:paraId="78E179EF"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0.101</w:t>
            </w:r>
          </w:p>
        </w:tc>
        <w:tc>
          <w:tcPr>
            <w:tcW w:w="800" w:type="dxa"/>
            <w:gridSpan w:val="2"/>
            <w:tcBorders>
              <w:top w:val="nil"/>
              <w:left w:val="nil"/>
              <w:bottom w:val="nil"/>
              <w:right w:val="nil"/>
            </w:tcBorders>
          </w:tcPr>
          <w:p w14:paraId="7D0FCC8B"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2.70</w:t>
            </w:r>
          </w:p>
        </w:tc>
        <w:tc>
          <w:tcPr>
            <w:tcW w:w="900" w:type="dxa"/>
            <w:tcBorders>
              <w:top w:val="nil"/>
              <w:left w:val="nil"/>
              <w:bottom w:val="nil"/>
              <w:right w:val="nil"/>
            </w:tcBorders>
          </w:tcPr>
          <w:p w14:paraId="6226E11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0.007</w:t>
            </w:r>
          </w:p>
        </w:tc>
        <w:tc>
          <w:tcPr>
            <w:tcW w:w="1200" w:type="dxa"/>
            <w:gridSpan w:val="2"/>
            <w:tcBorders>
              <w:top w:val="nil"/>
              <w:left w:val="nil"/>
              <w:bottom w:val="nil"/>
              <w:right w:val="nil"/>
            </w:tcBorders>
          </w:tcPr>
          <w:p w14:paraId="0896EFA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0.075</w:t>
            </w:r>
          </w:p>
        </w:tc>
        <w:tc>
          <w:tcPr>
            <w:tcW w:w="1200" w:type="dxa"/>
            <w:tcBorders>
              <w:top w:val="nil"/>
              <w:left w:val="nil"/>
              <w:bottom w:val="nil"/>
              <w:right w:val="nil"/>
            </w:tcBorders>
          </w:tcPr>
          <w:p w14:paraId="21758708"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0.471</w:t>
            </w:r>
          </w:p>
        </w:tc>
        <w:tc>
          <w:tcPr>
            <w:tcW w:w="600" w:type="dxa"/>
            <w:tcBorders>
              <w:top w:val="nil"/>
              <w:left w:val="nil"/>
              <w:bottom w:val="nil"/>
              <w:right w:val="nil"/>
            </w:tcBorders>
          </w:tcPr>
          <w:p w14:paraId="34CA06D0"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w:t>
            </w:r>
          </w:p>
        </w:tc>
      </w:tr>
      <w:tr w:rsidR="0069729B" w:rsidRPr="00EB0F4E" w14:paraId="5F24C1C9" w14:textId="77777777" w:rsidTr="00F0140C">
        <w:tc>
          <w:tcPr>
            <w:tcW w:w="1708" w:type="dxa"/>
            <w:tcBorders>
              <w:top w:val="nil"/>
              <w:left w:val="nil"/>
              <w:bottom w:val="nil"/>
              <w:right w:val="nil"/>
            </w:tcBorders>
          </w:tcPr>
          <w:p w14:paraId="1460B98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BOARDSIZE</w:t>
            </w:r>
          </w:p>
        </w:tc>
        <w:tc>
          <w:tcPr>
            <w:tcW w:w="1200" w:type="dxa"/>
            <w:gridSpan w:val="2"/>
            <w:tcBorders>
              <w:top w:val="nil"/>
              <w:left w:val="nil"/>
              <w:bottom w:val="nil"/>
              <w:right w:val="nil"/>
            </w:tcBorders>
          </w:tcPr>
          <w:p w14:paraId="5DBB1C81"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-0.015</w:t>
            </w:r>
          </w:p>
        </w:tc>
        <w:tc>
          <w:tcPr>
            <w:tcW w:w="1200" w:type="dxa"/>
            <w:tcBorders>
              <w:top w:val="nil"/>
              <w:left w:val="nil"/>
              <w:bottom w:val="nil"/>
              <w:right w:val="nil"/>
            </w:tcBorders>
          </w:tcPr>
          <w:p w14:paraId="6E41693C"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0.007</w:t>
            </w:r>
          </w:p>
        </w:tc>
        <w:tc>
          <w:tcPr>
            <w:tcW w:w="800" w:type="dxa"/>
            <w:gridSpan w:val="2"/>
            <w:tcBorders>
              <w:top w:val="nil"/>
              <w:left w:val="nil"/>
              <w:bottom w:val="nil"/>
              <w:right w:val="nil"/>
            </w:tcBorders>
          </w:tcPr>
          <w:p w14:paraId="5E6F23F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-2.20</w:t>
            </w:r>
          </w:p>
        </w:tc>
        <w:tc>
          <w:tcPr>
            <w:tcW w:w="900" w:type="dxa"/>
            <w:tcBorders>
              <w:top w:val="nil"/>
              <w:left w:val="nil"/>
              <w:bottom w:val="nil"/>
              <w:right w:val="nil"/>
            </w:tcBorders>
          </w:tcPr>
          <w:p w14:paraId="68C3E6F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0.028</w:t>
            </w:r>
          </w:p>
        </w:tc>
        <w:tc>
          <w:tcPr>
            <w:tcW w:w="1200" w:type="dxa"/>
            <w:gridSpan w:val="2"/>
            <w:tcBorders>
              <w:top w:val="nil"/>
              <w:left w:val="nil"/>
              <w:bottom w:val="nil"/>
              <w:right w:val="nil"/>
            </w:tcBorders>
          </w:tcPr>
          <w:p w14:paraId="3E816874"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-0.028</w:t>
            </w:r>
          </w:p>
        </w:tc>
        <w:tc>
          <w:tcPr>
            <w:tcW w:w="1200" w:type="dxa"/>
            <w:tcBorders>
              <w:top w:val="nil"/>
              <w:left w:val="nil"/>
              <w:bottom w:val="nil"/>
              <w:right w:val="nil"/>
            </w:tcBorders>
          </w:tcPr>
          <w:p w14:paraId="0590FD3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-0.002</w:t>
            </w:r>
          </w:p>
        </w:tc>
        <w:tc>
          <w:tcPr>
            <w:tcW w:w="600" w:type="dxa"/>
            <w:tcBorders>
              <w:top w:val="nil"/>
              <w:left w:val="nil"/>
              <w:bottom w:val="nil"/>
              <w:right w:val="nil"/>
            </w:tcBorders>
          </w:tcPr>
          <w:p w14:paraId="264FD17F"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w:t>
            </w:r>
          </w:p>
        </w:tc>
      </w:tr>
      <w:tr w:rsidR="0069729B" w:rsidRPr="00EB0F4E" w14:paraId="27BE26D5" w14:textId="77777777" w:rsidTr="00F0140C">
        <w:tc>
          <w:tcPr>
            <w:tcW w:w="1708" w:type="dxa"/>
            <w:tcBorders>
              <w:top w:val="nil"/>
              <w:left w:val="nil"/>
              <w:bottom w:val="nil"/>
              <w:right w:val="nil"/>
            </w:tcBorders>
          </w:tcPr>
          <w:p w14:paraId="202B3541"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ROA</w:t>
            </w:r>
          </w:p>
        </w:tc>
        <w:tc>
          <w:tcPr>
            <w:tcW w:w="1200" w:type="dxa"/>
            <w:gridSpan w:val="2"/>
            <w:tcBorders>
              <w:top w:val="nil"/>
              <w:left w:val="nil"/>
              <w:bottom w:val="nil"/>
              <w:right w:val="nil"/>
            </w:tcBorders>
          </w:tcPr>
          <w:p w14:paraId="34A6D468"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-0.247</w:t>
            </w:r>
          </w:p>
        </w:tc>
        <w:tc>
          <w:tcPr>
            <w:tcW w:w="1200" w:type="dxa"/>
            <w:tcBorders>
              <w:top w:val="nil"/>
              <w:left w:val="nil"/>
              <w:bottom w:val="nil"/>
              <w:right w:val="nil"/>
            </w:tcBorders>
          </w:tcPr>
          <w:p w14:paraId="7F2F72CB"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0.379</w:t>
            </w:r>
          </w:p>
        </w:tc>
        <w:tc>
          <w:tcPr>
            <w:tcW w:w="800" w:type="dxa"/>
            <w:gridSpan w:val="2"/>
            <w:tcBorders>
              <w:top w:val="nil"/>
              <w:left w:val="nil"/>
              <w:bottom w:val="nil"/>
              <w:right w:val="nil"/>
            </w:tcBorders>
          </w:tcPr>
          <w:p w14:paraId="5A53CDDB"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-0.65</w:t>
            </w:r>
          </w:p>
        </w:tc>
        <w:tc>
          <w:tcPr>
            <w:tcW w:w="900" w:type="dxa"/>
            <w:tcBorders>
              <w:top w:val="nil"/>
              <w:left w:val="nil"/>
              <w:bottom w:val="nil"/>
              <w:right w:val="nil"/>
            </w:tcBorders>
          </w:tcPr>
          <w:p w14:paraId="5C0D2AF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0.514</w:t>
            </w:r>
          </w:p>
        </w:tc>
        <w:tc>
          <w:tcPr>
            <w:tcW w:w="1200" w:type="dxa"/>
            <w:gridSpan w:val="2"/>
            <w:tcBorders>
              <w:top w:val="nil"/>
              <w:left w:val="nil"/>
              <w:bottom w:val="nil"/>
              <w:right w:val="nil"/>
            </w:tcBorders>
          </w:tcPr>
          <w:p w14:paraId="0037235A"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-0.990</w:t>
            </w:r>
          </w:p>
        </w:tc>
        <w:tc>
          <w:tcPr>
            <w:tcW w:w="1200" w:type="dxa"/>
            <w:tcBorders>
              <w:top w:val="nil"/>
              <w:left w:val="nil"/>
              <w:bottom w:val="nil"/>
              <w:right w:val="nil"/>
            </w:tcBorders>
          </w:tcPr>
          <w:p w14:paraId="5E53D556"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0.495</w:t>
            </w:r>
          </w:p>
        </w:tc>
        <w:tc>
          <w:tcPr>
            <w:tcW w:w="600" w:type="dxa"/>
            <w:tcBorders>
              <w:top w:val="nil"/>
              <w:left w:val="nil"/>
              <w:bottom w:val="nil"/>
              <w:right w:val="nil"/>
            </w:tcBorders>
          </w:tcPr>
          <w:p w14:paraId="512C3370"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p>
        </w:tc>
      </w:tr>
      <w:tr w:rsidR="0069729B" w:rsidRPr="00EB0F4E" w14:paraId="70C5027A" w14:textId="77777777" w:rsidTr="00F0140C">
        <w:tc>
          <w:tcPr>
            <w:tcW w:w="1708" w:type="dxa"/>
            <w:tcBorders>
              <w:top w:val="nil"/>
              <w:left w:val="nil"/>
              <w:bottom w:val="nil"/>
              <w:right w:val="nil"/>
            </w:tcBorders>
          </w:tcPr>
          <w:p w14:paraId="44E4765F"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SIZE</w:t>
            </w:r>
          </w:p>
        </w:tc>
        <w:tc>
          <w:tcPr>
            <w:tcW w:w="1200" w:type="dxa"/>
            <w:gridSpan w:val="2"/>
            <w:tcBorders>
              <w:top w:val="nil"/>
              <w:left w:val="nil"/>
              <w:bottom w:val="nil"/>
              <w:right w:val="nil"/>
            </w:tcBorders>
          </w:tcPr>
          <w:p w14:paraId="0B9DEECF"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0.214</w:t>
            </w:r>
          </w:p>
        </w:tc>
        <w:tc>
          <w:tcPr>
            <w:tcW w:w="1200" w:type="dxa"/>
            <w:tcBorders>
              <w:top w:val="nil"/>
              <w:left w:val="nil"/>
              <w:bottom w:val="nil"/>
              <w:right w:val="nil"/>
            </w:tcBorders>
          </w:tcPr>
          <w:p w14:paraId="44DF3BF0"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0.031</w:t>
            </w:r>
          </w:p>
        </w:tc>
        <w:tc>
          <w:tcPr>
            <w:tcW w:w="800" w:type="dxa"/>
            <w:gridSpan w:val="2"/>
            <w:tcBorders>
              <w:top w:val="nil"/>
              <w:left w:val="nil"/>
              <w:bottom w:val="nil"/>
              <w:right w:val="nil"/>
            </w:tcBorders>
          </w:tcPr>
          <w:p w14:paraId="430B3DA1"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6.80</w:t>
            </w:r>
          </w:p>
        </w:tc>
        <w:tc>
          <w:tcPr>
            <w:tcW w:w="900" w:type="dxa"/>
            <w:tcBorders>
              <w:top w:val="nil"/>
              <w:left w:val="nil"/>
              <w:bottom w:val="nil"/>
              <w:right w:val="nil"/>
            </w:tcBorders>
          </w:tcPr>
          <w:p w14:paraId="2148225B"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0.000</w:t>
            </w:r>
          </w:p>
        </w:tc>
        <w:tc>
          <w:tcPr>
            <w:tcW w:w="1200" w:type="dxa"/>
            <w:gridSpan w:val="2"/>
            <w:tcBorders>
              <w:top w:val="nil"/>
              <w:left w:val="nil"/>
              <w:bottom w:val="nil"/>
              <w:right w:val="nil"/>
            </w:tcBorders>
          </w:tcPr>
          <w:p w14:paraId="675AC0DE"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0.152</w:t>
            </w:r>
          </w:p>
        </w:tc>
        <w:tc>
          <w:tcPr>
            <w:tcW w:w="1200" w:type="dxa"/>
            <w:tcBorders>
              <w:top w:val="nil"/>
              <w:left w:val="nil"/>
              <w:bottom w:val="nil"/>
              <w:right w:val="nil"/>
            </w:tcBorders>
          </w:tcPr>
          <w:p w14:paraId="1FA5ED40"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0.276</w:t>
            </w:r>
          </w:p>
        </w:tc>
        <w:tc>
          <w:tcPr>
            <w:tcW w:w="600" w:type="dxa"/>
            <w:tcBorders>
              <w:top w:val="nil"/>
              <w:left w:val="nil"/>
              <w:bottom w:val="nil"/>
              <w:right w:val="nil"/>
            </w:tcBorders>
          </w:tcPr>
          <w:p w14:paraId="3B8B799B"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w:t>
            </w:r>
          </w:p>
        </w:tc>
      </w:tr>
      <w:tr w:rsidR="0069729B" w:rsidRPr="00EB0F4E" w14:paraId="4689F2D8" w14:textId="77777777" w:rsidTr="00F0140C">
        <w:tc>
          <w:tcPr>
            <w:tcW w:w="1708" w:type="dxa"/>
            <w:tcBorders>
              <w:top w:val="nil"/>
              <w:left w:val="nil"/>
              <w:bottom w:val="nil"/>
              <w:right w:val="nil"/>
            </w:tcBorders>
          </w:tcPr>
          <w:p w14:paraId="50FCF3FC"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Constant</w:t>
            </w:r>
          </w:p>
        </w:tc>
        <w:tc>
          <w:tcPr>
            <w:tcW w:w="1200" w:type="dxa"/>
            <w:gridSpan w:val="2"/>
            <w:tcBorders>
              <w:top w:val="nil"/>
              <w:left w:val="nil"/>
              <w:bottom w:val="nil"/>
              <w:right w:val="nil"/>
            </w:tcBorders>
          </w:tcPr>
          <w:p w14:paraId="1328F98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-2.810</w:t>
            </w:r>
          </w:p>
        </w:tc>
        <w:tc>
          <w:tcPr>
            <w:tcW w:w="1200" w:type="dxa"/>
            <w:tcBorders>
              <w:top w:val="nil"/>
              <w:left w:val="nil"/>
              <w:bottom w:val="nil"/>
              <w:right w:val="nil"/>
            </w:tcBorders>
          </w:tcPr>
          <w:p w14:paraId="25F9172B"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0.395</w:t>
            </w:r>
          </w:p>
        </w:tc>
        <w:tc>
          <w:tcPr>
            <w:tcW w:w="800" w:type="dxa"/>
            <w:gridSpan w:val="2"/>
            <w:tcBorders>
              <w:top w:val="nil"/>
              <w:left w:val="nil"/>
              <w:bottom w:val="nil"/>
              <w:right w:val="nil"/>
            </w:tcBorders>
          </w:tcPr>
          <w:p w14:paraId="5FFA9AC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-7.11</w:t>
            </w:r>
          </w:p>
        </w:tc>
        <w:tc>
          <w:tcPr>
            <w:tcW w:w="900" w:type="dxa"/>
            <w:tcBorders>
              <w:top w:val="nil"/>
              <w:left w:val="nil"/>
              <w:bottom w:val="nil"/>
              <w:right w:val="nil"/>
            </w:tcBorders>
          </w:tcPr>
          <w:p w14:paraId="2C1062B7"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0.000</w:t>
            </w:r>
          </w:p>
        </w:tc>
        <w:tc>
          <w:tcPr>
            <w:tcW w:w="1200" w:type="dxa"/>
            <w:gridSpan w:val="2"/>
            <w:tcBorders>
              <w:top w:val="nil"/>
              <w:left w:val="nil"/>
              <w:bottom w:val="nil"/>
              <w:right w:val="nil"/>
            </w:tcBorders>
          </w:tcPr>
          <w:p w14:paraId="0BA7D69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-3.585</w:t>
            </w:r>
          </w:p>
        </w:tc>
        <w:tc>
          <w:tcPr>
            <w:tcW w:w="1200" w:type="dxa"/>
            <w:tcBorders>
              <w:top w:val="nil"/>
              <w:left w:val="nil"/>
              <w:bottom w:val="nil"/>
              <w:right w:val="nil"/>
            </w:tcBorders>
          </w:tcPr>
          <w:p w14:paraId="40DFCC46"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-2.036</w:t>
            </w:r>
          </w:p>
        </w:tc>
        <w:tc>
          <w:tcPr>
            <w:tcW w:w="600" w:type="dxa"/>
            <w:tcBorders>
              <w:top w:val="nil"/>
              <w:left w:val="nil"/>
              <w:bottom w:val="nil"/>
              <w:right w:val="nil"/>
            </w:tcBorders>
          </w:tcPr>
          <w:p w14:paraId="64AC7178"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w:t>
            </w:r>
          </w:p>
        </w:tc>
      </w:tr>
      <w:tr w:rsidR="0069729B" w:rsidRPr="00EB0F4E" w14:paraId="7650DF14" w14:textId="77777777" w:rsidTr="00F0140C">
        <w:tc>
          <w:tcPr>
            <w:tcW w:w="8808" w:type="dxa"/>
            <w:gridSpan w:val="11"/>
            <w:tcBorders>
              <w:top w:val="nil"/>
              <w:left w:val="nil"/>
              <w:bottom w:val="single" w:sz="4" w:space="0" w:color="auto"/>
              <w:right w:val="nil"/>
            </w:tcBorders>
          </w:tcPr>
          <w:p w14:paraId="353611A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p>
        </w:tc>
      </w:tr>
      <w:tr w:rsidR="0069729B" w:rsidRPr="00EB0F4E" w14:paraId="68553FF2" w14:textId="77777777" w:rsidTr="00F0140C">
        <w:trPr>
          <w:gridAfter w:val="1"/>
          <w:wAfter w:w="600" w:type="dxa"/>
        </w:trPr>
        <w:tc>
          <w:tcPr>
            <w:tcW w:w="2408" w:type="dxa"/>
            <w:gridSpan w:val="2"/>
            <w:tcBorders>
              <w:top w:val="nil"/>
              <w:left w:val="nil"/>
              <w:bottom w:val="nil"/>
              <w:right w:val="nil"/>
            </w:tcBorders>
          </w:tcPr>
          <w:p w14:paraId="178AFC2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Mean dependent var</w:t>
            </w:r>
          </w:p>
        </w:tc>
        <w:tc>
          <w:tcPr>
            <w:tcW w:w="1750" w:type="dxa"/>
            <w:gridSpan w:val="3"/>
            <w:tcBorders>
              <w:top w:val="nil"/>
              <w:left w:val="nil"/>
              <w:bottom w:val="nil"/>
              <w:right w:val="nil"/>
            </w:tcBorders>
          </w:tcPr>
          <w:p w14:paraId="49F91234"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0.132</w:t>
            </w:r>
          </w:p>
        </w:tc>
        <w:tc>
          <w:tcPr>
            <w:tcW w:w="2300" w:type="dxa"/>
            <w:gridSpan w:val="3"/>
            <w:tcBorders>
              <w:top w:val="nil"/>
              <w:left w:val="nil"/>
              <w:bottom w:val="nil"/>
              <w:right w:val="nil"/>
            </w:tcBorders>
          </w:tcPr>
          <w:p w14:paraId="733C3625"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 xml:space="preserve">SD dependent var </w:t>
            </w:r>
          </w:p>
        </w:tc>
        <w:tc>
          <w:tcPr>
            <w:tcW w:w="1750" w:type="dxa"/>
            <w:gridSpan w:val="2"/>
            <w:tcBorders>
              <w:top w:val="nil"/>
              <w:left w:val="nil"/>
              <w:bottom w:val="nil"/>
              <w:right w:val="nil"/>
            </w:tcBorders>
          </w:tcPr>
          <w:p w14:paraId="67F620C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0.219</w:t>
            </w:r>
          </w:p>
        </w:tc>
      </w:tr>
      <w:tr w:rsidR="0069729B" w:rsidRPr="00EB0F4E" w14:paraId="0041DA1E" w14:textId="77777777" w:rsidTr="00F0140C">
        <w:trPr>
          <w:gridAfter w:val="1"/>
          <w:wAfter w:w="600" w:type="dxa"/>
        </w:trPr>
        <w:tc>
          <w:tcPr>
            <w:tcW w:w="2408" w:type="dxa"/>
            <w:gridSpan w:val="2"/>
            <w:tcBorders>
              <w:top w:val="nil"/>
              <w:left w:val="nil"/>
              <w:bottom w:val="nil"/>
              <w:right w:val="nil"/>
            </w:tcBorders>
          </w:tcPr>
          <w:p w14:paraId="29832133"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 xml:space="preserve">Overall r-squared </w:t>
            </w:r>
          </w:p>
        </w:tc>
        <w:tc>
          <w:tcPr>
            <w:tcW w:w="1750" w:type="dxa"/>
            <w:gridSpan w:val="3"/>
            <w:tcBorders>
              <w:top w:val="nil"/>
              <w:left w:val="nil"/>
              <w:bottom w:val="nil"/>
              <w:right w:val="nil"/>
            </w:tcBorders>
          </w:tcPr>
          <w:p w14:paraId="269D65CA"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0.654</w:t>
            </w:r>
          </w:p>
        </w:tc>
        <w:tc>
          <w:tcPr>
            <w:tcW w:w="2300" w:type="dxa"/>
            <w:gridSpan w:val="3"/>
            <w:tcBorders>
              <w:top w:val="nil"/>
              <w:left w:val="nil"/>
              <w:bottom w:val="nil"/>
              <w:right w:val="nil"/>
            </w:tcBorders>
          </w:tcPr>
          <w:p w14:paraId="7F56BC10"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 xml:space="preserve">Number of </w:t>
            </w:r>
            <w:proofErr w:type="spellStart"/>
            <w:r w:rsidRPr="00EB0F4E">
              <w:rPr>
                <w:rFonts w:ascii="Calibri" w:hAnsi="Calibri" w:cs="Calibri"/>
                <w:sz w:val="24"/>
                <w:szCs w:val="24"/>
              </w:rPr>
              <w:t>obs</w:t>
            </w:r>
            <w:proofErr w:type="spellEnd"/>
            <w:r w:rsidRPr="00EB0F4E">
              <w:rPr>
                <w:rFonts w:ascii="Calibri" w:hAnsi="Calibri" w:cs="Calibri"/>
                <w:sz w:val="24"/>
                <w:szCs w:val="24"/>
              </w:rPr>
              <w:t xml:space="preserve">  </w:t>
            </w:r>
          </w:p>
        </w:tc>
        <w:tc>
          <w:tcPr>
            <w:tcW w:w="1750" w:type="dxa"/>
            <w:gridSpan w:val="2"/>
            <w:tcBorders>
              <w:top w:val="nil"/>
              <w:left w:val="nil"/>
              <w:bottom w:val="nil"/>
              <w:right w:val="nil"/>
            </w:tcBorders>
          </w:tcPr>
          <w:p w14:paraId="3D79AF2B"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210.000</w:t>
            </w:r>
          </w:p>
        </w:tc>
      </w:tr>
      <w:tr w:rsidR="0069729B" w:rsidRPr="00EB0F4E" w14:paraId="5FD71C84" w14:textId="77777777" w:rsidTr="00F0140C">
        <w:trPr>
          <w:gridAfter w:val="1"/>
          <w:wAfter w:w="600" w:type="dxa"/>
        </w:trPr>
        <w:tc>
          <w:tcPr>
            <w:tcW w:w="2408" w:type="dxa"/>
            <w:gridSpan w:val="2"/>
            <w:tcBorders>
              <w:top w:val="nil"/>
              <w:left w:val="nil"/>
              <w:bottom w:val="nil"/>
              <w:right w:val="nil"/>
            </w:tcBorders>
          </w:tcPr>
          <w:p w14:paraId="79596E09"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 xml:space="preserve">Chi-square  </w:t>
            </w:r>
          </w:p>
        </w:tc>
        <w:tc>
          <w:tcPr>
            <w:tcW w:w="1750" w:type="dxa"/>
            <w:gridSpan w:val="3"/>
            <w:tcBorders>
              <w:top w:val="nil"/>
              <w:left w:val="nil"/>
              <w:bottom w:val="nil"/>
              <w:right w:val="nil"/>
            </w:tcBorders>
          </w:tcPr>
          <w:p w14:paraId="76DF57DD"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130.155</w:t>
            </w:r>
          </w:p>
        </w:tc>
        <w:tc>
          <w:tcPr>
            <w:tcW w:w="2300" w:type="dxa"/>
            <w:gridSpan w:val="3"/>
            <w:tcBorders>
              <w:top w:val="nil"/>
              <w:left w:val="nil"/>
              <w:bottom w:val="nil"/>
              <w:right w:val="nil"/>
            </w:tcBorders>
          </w:tcPr>
          <w:p w14:paraId="713AA69A"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 xml:space="preserve">Prob &gt; chi2 </w:t>
            </w:r>
          </w:p>
        </w:tc>
        <w:tc>
          <w:tcPr>
            <w:tcW w:w="1750" w:type="dxa"/>
            <w:gridSpan w:val="2"/>
            <w:tcBorders>
              <w:top w:val="nil"/>
              <w:left w:val="nil"/>
              <w:bottom w:val="nil"/>
              <w:right w:val="nil"/>
            </w:tcBorders>
          </w:tcPr>
          <w:p w14:paraId="721662BF"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0.000</w:t>
            </w:r>
          </w:p>
        </w:tc>
      </w:tr>
      <w:tr w:rsidR="0069729B" w:rsidRPr="00EB0F4E" w14:paraId="6D2C9977" w14:textId="77777777" w:rsidTr="00F0140C">
        <w:trPr>
          <w:gridAfter w:val="1"/>
          <w:wAfter w:w="600" w:type="dxa"/>
        </w:trPr>
        <w:tc>
          <w:tcPr>
            <w:tcW w:w="2408" w:type="dxa"/>
            <w:gridSpan w:val="2"/>
            <w:tcBorders>
              <w:top w:val="nil"/>
              <w:left w:val="nil"/>
              <w:bottom w:val="nil"/>
              <w:right w:val="nil"/>
            </w:tcBorders>
          </w:tcPr>
          <w:p w14:paraId="5A6DD9C8"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R-squared within</w:t>
            </w:r>
          </w:p>
        </w:tc>
        <w:tc>
          <w:tcPr>
            <w:tcW w:w="1750" w:type="dxa"/>
            <w:gridSpan w:val="3"/>
            <w:tcBorders>
              <w:top w:val="nil"/>
              <w:left w:val="nil"/>
              <w:bottom w:val="nil"/>
              <w:right w:val="nil"/>
            </w:tcBorders>
          </w:tcPr>
          <w:p w14:paraId="4348A1BA"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0.142</w:t>
            </w:r>
          </w:p>
        </w:tc>
        <w:tc>
          <w:tcPr>
            <w:tcW w:w="2300" w:type="dxa"/>
            <w:gridSpan w:val="3"/>
            <w:tcBorders>
              <w:top w:val="nil"/>
              <w:left w:val="nil"/>
              <w:bottom w:val="nil"/>
              <w:right w:val="nil"/>
            </w:tcBorders>
          </w:tcPr>
          <w:p w14:paraId="54712EC4"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R-squared between</w:t>
            </w:r>
          </w:p>
        </w:tc>
        <w:tc>
          <w:tcPr>
            <w:tcW w:w="1750" w:type="dxa"/>
            <w:gridSpan w:val="2"/>
            <w:tcBorders>
              <w:top w:val="nil"/>
              <w:left w:val="nil"/>
              <w:bottom w:val="nil"/>
              <w:right w:val="nil"/>
            </w:tcBorders>
          </w:tcPr>
          <w:p w14:paraId="151BF903"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0.723</w:t>
            </w:r>
          </w:p>
        </w:tc>
      </w:tr>
      <w:tr w:rsidR="0069729B" w:rsidRPr="00EB0F4E" w14:paraId="533029EF" w14:textId="77777777" w:rsidTr="00F0140C">
        <w:tc>
          <w:tcPr>
            <w:tcW w:w="8808" w:type="dxa"/>
            <w:gridSpan w:val="11"/>
            <w:tcBorders>
              <w:top w:val="nil"/>
              <w:left w:val="nil"/>
              <w:bottom w:val="single" w:sz="10" w:space="0" w:color="auto"/>
              <w:right w:val="nil"/>
            </w:tcBorders>
          </w:tcPr>
          <w:p w14:paraId="63085EF8"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p>
        </w:tc>
      </w:tr>
      <w:tr w:rsidR="0069729B" w:rsidRPr="00EB0F4E" w14:paraId="29EBEC87" w14:textId="77777777" w:rsidTr="00F0140C">
        <w:trPr>
          <w:gridAfter w:val="1"/>
          <w:wAfter w:w="600" w:type="dxa"/>
        </w:trPr>
        <w:tc>
          <w:tcPr>
            <w:tcW w:w="8208" w:type="dxa"/>
            <w:gridSpan w:val="10"/>
            <w:tcBorders>
              <w:top w:val="nil"/>
              <w:left w:val="nil"/>
              <w:bottom w:val="nil"/>
              <w:right w:val="nil"/>
            </w:tcBorders>
          </w:tcPr>
          <w:p w14:paraId="79C5877E" w14:textId="77777777" w:rsidR="0069729B" w:rsidRPr="00EB0F4E" w:rsidRDefault="0069729B" w:rsidP="00F0140C">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i/>
                <w:iCs/>
                <w:sz w:val="24"/>
                <w:szCs w:val="24"/>
              </w:rPr>
              <w:t>*** p&lt;0.01, ** p&lt;0.05, * p&lt;0.1</w:t>
            </w:r>
          </w:p>
        </w:tc>
      </w:tr>
    </w:tbl>
    <w:p w14:paraId="5D76B528" w14:textId="77777777" w:rsidR="0069729B" w:rsidRPr="00EB0F4E" w:rsidRDefault="0069729B" w:rsidP="0069729B">
      <w:pPr>
        <w:widowControl w:val="0"/>
        <w:autoSpaceDE w:val="0"/>
        <w:autoSpaceDN w:val="0"/>
        <w:adjustRightInd w:val="0"/>
        <w:spacing w:after="0" w:line="240" w:lineRule="auto"/>
        <w:jc w:val="both"/>
        <w:rPr>
          <w:rFonts w:ascii="Calibri" w:hAnsi="Calibri" w:cs="Calibri"/>
          <w:b/>
          <w:bCs/>
          <w:sz w:val="24"/>
          <w:szCs w:val="24"/>
        </w:rPr>
      </w:pPr>
    </w:p>
    <w:p w14:paraId="2E10A0CA" w14:textId="77777777" w:rsidR="0069729B" w:rsidRPr="00EB0F4E" w:rsidRDefault="0069729B" w:rsidP="0069729B">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sz w:val="24"/>
          <w:szCs w:val="24"/>
        </w:rPr>
        <w:t>Discussion</w:t>
      </w:r>
    </w:p>
    <w:p w14:paraId="4EF53661" w14:textId="77777777" w:rsidR="0069729B" w:rsidRPr="00EB0F4E" w:rsidRDefault="0069729B" w:rsidP="0069729B">
      <w:pPr>
        <w:widowControl w:val="0"/>
        <w:autoSpaceDE w:val="0"/>
        <w:autoSpaceDN w:val="0"/>
        <w:adjustRightInd w:val="0"/>
        <w:spacing w:after="0" w:line="240" w:lineRule="auto"/>
        <w:jc w:val="both"/>
        <w:rPr>
          <w:rFonts w:ascii="Calibri" w:hAnsi="Calibri" w:cs="Calibri"/>
          <w:i/>
          <w:iCs/>
          <w:sz w:val="24"/>
          <w:szCs w:val="24"/>
        </w:rPr>
      </w:pPr>
      <w:r w:rsidRPr="00EB0F4E">
        <w:rPr>
          <w:rFonts w:ascii="Calibri" w:hAnsi="Calibri" w:cs="Calibri"/>
          <w:i/>
          <w:iCs/>
          <w:sz w:val="24"/>
          <w:szCs w:val="24"/>
        </w:rPr>
        <w:t>Board's gender diversity and sustainability reporting</w:t>
      </w:r>
    </w:p>
    <w:p w14:paraId="30340EA4" w14:textId="77777777" w:rsidR="0069729B" w:rsidRPr="00EB0F4E" w:rsidRDefault="0069729B" w:rsidP="0069729B">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ab/>
        <w:t xml:space="preserve">The study finds that board’s gender diversity exhibits positive effect on sustainability reporting. Men’s presence in the board is important to direct the company to keep improving in business while the existence of women in the board can be expected to increase the level of sensitivity towards various external business issues (Manner, 2010). This can extend up to covering sustainability issues (Prabowo et al., 2017; Huang, 2013; Manner, 2010) and thus improve the practice of sustainability reporting. A top management with more diverse gender and the involvement of women will support the implementation of business strategies that support </w:t>
      </w:r>
      <w:r w:rsidRPr="00EB0F4E">
        <w:rPr>
          <w:rFonts w:ascii="Calibri" w:hAnsi="Calibri" w:cs="Calibri"/>
          <w:iCs/>
          <w:sz w:val="24"/>
          <w:szCs w:val="24"/>
        </w:rPr>
        <w:t>corporate sustainability (</w:t>
      </w:r>
      <w:r w:rsidRPr="00EB0F4E">
        <w:rPr>
          <w:rFonts w:ascii="Calibri" w:hAnsi="Calibri" w:cs="Calibri"/>
          <w:sz w:val="24"/>
          <w:szCs w:val="24"/>
        </w:rPr>
        <w:t>Huang, 2013). This kind of a board will put significant attention on sustainability reporting in the company. In practice, the circumstances will contribute to improving the environmental, social, and governance aspect (</w:t>
      </w:r>
      <w:proofErr w:type="spellStart"/>
      <w:r w:rsidRPr="00EB0F4E">
        <w:rPr>
          <w:rFonts w:ascii="Calibri" w:hAnsi="Calibri" w:cs="Calibri"/>
          <w:sz w:val="24"/>
          <w:szCs w:val="24"/>
        </w:rPr>
        <w:t>Arayssi</w:t>
      </w:r>
      <w:proofErr w:type="spellEnd"/>
      <w:r w:rsidRPr="00EB0F4E">
        <w:rPr>
          <w:rFonts w:ascii="Calibri" w:hAnsi="Calibri" w:cs="Calibri"/>
          <w:sz w:val="24"/>
          <w:szCs w:val="24"/>
        </w:rPr>
        <w:t xml:space="preserve"> et al., 2020)</w:t>
      </w:r>
      <w:r w:rsidRPr="00EB0F4E">
        <w:rPr>
          <w:rFonts w:ascii="Calibri" w:hAnsi="Calibri" w:cs="Calibri"/>
          <w:noProof/>
          <w:sz w:val="24"/>
          <w:szCs w:val="24"/>
        </w:rPr>
        <w:t>. The explanation above is in line with the empirical findings by Orazalin (2019) who states that a large percentage of women on board has a positive relationship with corporate social responsibility. In this regard, the concern about real sustainability issues have an important role in increasing the disclosure of sustainability information and thus the quality of sustainability report increases.</w:t>
      </w:r>
    </w:p>
    <w:p w14:paraId="58227687" w14:textId="77777777" w:rsidR="0069729B" w:rsidRPr="00EB0F4E" w:rsidRDefault="0069729B" w:rsidP="0069729B">
      <w:pPr>
        <w:widowControl w:val="0"/>
        <w:autoSpaceDE w:val="0"/>
        <w:autoSpaceDN w:val="0"/>
        <w:adjustRightInd w:val="0"/>
        <w:spacing w:after="0" w:line="240" w:lineRule="auto"/>
        <w:jc w:val="both"/>
        <w:rPr>
          <w:rFonts w:ascii="Calibri" w:hAnsi="Calibri" w:cs="Calibri"/>
          <w:i/>
          <w:iCs/>
          <w:sz w:val="24"/>
          <w:szCs w:val="24"/>
        </w:rPr>
      </w:pPr>
    </w:p>
    <w:p w14:paraId="3D2A07CA" w14:textId="77777777" w:rsidR="0069729B" w:rsidRPr="00EB0F4E" w:rsidRDefault="0069729B" w:rsidP="0069729B">
      <w:pPr>
        <w:widowControl w:val="0"/>
        <w:autoSpaceDE w:val="0"/>
        <w:autoSpaceDN w:val="0"/>
        <w:adjustRightInd w:val="0"/>
        <w:spacing w:after="0" w:line="240" w:lineRule="auto"/>
        <w:jc w:val="both"/>
        <w:rPr>
          <w:rFonts w:ascii="Calibri" w:hAnsi="Calibri" w:cs="Calibri"/>
          <w:i/>
          <w:iCs/>
          <w:sz w:val="24"/>
          <w:szCs w:val="24"/>
        </w:rPr>
      </w:pPr>
      <w:r w:rsidRPr="00EB0F4E">
        <w:rPr>
          <w:rFonts w:ascii="Calibri" w:hAnsi="Calibri" w:cs="Calibri"/>
          <w:i/>
          <w:iCs/>
          <w:sz w:val="24"/>
          <w:szCs w:val="24"/>
        </w:rPr>
        <w:t>Board's national diversity and sustainability reporting</w:t>
      </w:r>
    </w:p>
    <w:p w14:paraId="107995B2" w14:textId="77777777" w:rsidR="0069729B" w:rsidRPr="00EB0F4E" w:rsidRDefault="0069729B" w:rsidP="0069729B">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ab/>
        <w:t>The study overall finds no significant effect of board’s nationality diversity on sustainability reporting in Indonesian listed banks. In regard with this insignificant result, the nationality diversity in Indonesian board is indeed still considerably low following the result presented in the descriptive statistics. Further, the existence of foreigners on board does not increase the possibility for the firm to engage more in the activities related to sustainability report (Huang, 2013). Thus, the companies are more shareholder-centric and focus more on strong investor protection mechanisms and widespread recognition of companies so that the circumstances possibly ultimately reduce CSR involvement (Kang et al, 2019). Furthermore, even if there are board members with foreign nationality, it is also important to consider their country of origin. In fact, most of the foreign board members in the banking industry in Indonesia, especially in this research samples, also come from developing countries and are dominated by other Asian countries (</w:t>
      </w:r>
      <w:proofErr w:type="spellStart"/>
      <w:r w:rsidRPr="00EB0F4E">
        <w:rPr>
          <w:rFonts w:ascii="Calibri" w:hAnsi="Calibri" w:cs="Calibri"/>
          <w:sz w:val="24"/>
          <w:szCs w:val="24"/>
        </w:rPr>
        <w:t>Amidjaya</w:t>
      </w:r>
      <w:proofErr w:type="spellEnd"/>
      <w:r w:rsidRPr="00EB0F4E">
        <w:rPr>
          <w:rFonts w:ascii="Calibri" w:hAnsi="Calibri" w:cs="Calibri"/>
          <w:sz w:val="24"/>
          <w:szCs w:val="24"/>
        </w:rPr>
        <w:t xml:space="preserve"> &amp; </w:t>
      </w:r>
      <w:proofErr w:type="spellStart"/>
      <w:r w:rsidRPr="00EB0F4E">
        <w:rPr>
          <w:rFonts w:ascii="Calibri" w:hAnsi="Calibri" w:cs="Calibri"/>
          <w:sz w:val="24"/>
          <w:szCs w:val="24"/>
        </w:rPr>
        <w:t>Widagdo</w:t>
      </w:r>
      <w:proofErr w:type="spellEnd"/>
      <w:r w:rsidRPr="00EB0F4E">
        <w:rPr>
          <w:rFonts w:ascii="Calibri" w:hAnsi="Calibri" w:cs="Calibri"/>
          <w:sz w:val="24"/>
          <w:szCs w:val="24"/>
        </w:rPr>
        <w:t>, 2019). Thus, the mindset and views on sustainability are not much different from people in developing countries (</w:t>
      </w:r>
      <w:proofErr w:type="spellStart"/>
      <w:r w:rsidRPr="00EB0F4E">
        <w:rPr>
          <w:rFonts w:ascii="Calibri" w:hAnsi="Calibri" w:cs="Calibri"/>
          <w:sz w:val="24"/>
          <w:szCs w:val="24"/>
        </w:rPr>
        <w:t>Sumarta</w:t>
      </w:r>
      <w:proofErr w:type="spellEnd"/>
      <w:r w:rsidRPr="00EB0F4E">
        <w:rPr>
          <w:rFonts w:ascii="Calibri" w:hAnsi="Calibri" w:cs="Calibri"/>
          <w:sz w:val="24"/>
          <w:szCs w:val="24"/>
        </w:rPr>
        <w:t xml:space="preserve"> et al., 2021a).</w:t>
      </w:r>
    </w:p>
    <w:p w14:paraId="237081D1" w14:textId="77777777" w:rsidR="0069729B" w:rsidRPr="00EB0F4E" w:rsidRDefault="0069729B" w:rsidP="0069729B">
      <w:pPr>
        <w:widowControl w:val="0"/>
        <w:autoSpaceDE w:val="0"/>
        <w:autoSpaceDN w:val="0"/>
        <w:adjustRightInd w:val="0"/>
        <w:spacing w:after="0" w:line="240" w:lineRule="auto"/>
        <w:jc w:val="both"/>
        <w:rPr>
          <w:rFonts w:ascii="Calibri" w:hAnsi="Calibri" w:cs="Calibri"/>
          <w:i/>
          <w:iCs/>
          <w:sz w:val="24"/>
          <w:szCs w:val="24"/>
        </w:rPr>
      </w:pPr>
    </w:p>
    <w:p w14:paraId="2E30F296" w14:textId="77777777" w:rsidR="0069729B" w:rsidRPr="00EB0F4E" w:rsidRDefault="0069729B" w:rsidP="0069729B">
      <w:pPr>
        <w:widowControl w:val="0"/>
        <w:autoSpaceDE w:val="0"/>
        <w:autoSpaceDN w:val="0"/>
        <w:adjustRightInd w:val="0"/>
        <w:spacing w:after="0" w:line="240" w:lineRule="auto"/>
        <w:jc w:val="both"/>
        <w:rPr>
          <w:rFonts w:ascii="Calibri" w:hAnsi="Calibri" w:cs="Calibri"/>
          <w:i/>
          <w:iCs/>
          <w:sz w:val="24"/>
          <w:szCs w:val="24"/>
        </w:rPr>
      </w:pPr>
      <w:r w:rsidRPr="00EB0F4E">
        <w:rPr>
          <w:rFonts w:ascii="Calibri" w:hAnsi="Calibri" w:cs="Calibri"/>
          <w:i/>
          <w:iCs/>
          <w:sz w:val="24"/>
          <w:szCs w:val="24"/>
        </w:rPr>
        <w:t>Board's age diversity and sustainability reporting</w:t>
      </w:r>
    </w:p>
    <w:p w14:paraId="26D73F28" w14:textId="77777777" w:rsidR="0069729B" w:rsidRPr="00EB0F4E" w:rsidRDefault="0069729B" w:rsidP="0069729B">
      <w:pPr>
        <w:widowControl w:val="0"/>
        <w:autoSpaceDE w:val="0"/>
        <w:autoSpaceDN w:val="0"/>
        <w:adjustRightInd w:val="0"/>
        <w:spacing w:after="0" w:line="240" w:lineRule="auto"/>
        <w:jc w:val="both"/>
        <w:rPr>
          <w:rFonts w:ascii="Calibri" w:hAnsi="Calibri" w:cs="Calibri"/>
          <w:b/>
          <w:bCs/>
          <w:i/>
          <w:iCs/>
          <w:sz w:val="24"/>
          <w:szCs w:val="24"/>
        </w:rPr>
      </w:pPr>
      <w:r w:rsidRPr="00EB0F4E">
        <w:rPr>
          <w:rFonts w:ascii="Calibri" w:hAnsi="Calibri" w:cs="Calibri"/>
          <w:sz w:val="24"/>
          <w:szCs w:val="24"/>
        </w:rPr>
        <w:tab/>
      </w:r>
      <w:bookmarkStart w:id="2" w:name="OLE_LINK1"/>
      <w:bookmarkStart w:id="3" w:name="OLE_LINK2"/>
      <w:r w:rsidRPr="00EB0F4E">
        <w:rPr>
          <w:rFonts w:ascii="Calibri" w:hAnsi="Calibri" w:cs="Calibri"/>
          <w:sz w:val="24"/>
          <w:szCs w:val="24"/>
        </w:rPr>
        <w:t>We find that board’s age diversity does not affect sustainability reporting in Indonesian listed banks. The insignificant result may be the consequences of the fact that the board members in Indonesian companies are still dominated with older board members (</w:t>
      </w:r>
      <w:proofErr w:type="spellStart"/>
      <w:r w:rsidRPr="00EB0F4E">
        <w:rPr>
          <w:rFonts w:ascii="Calibri" w:hAnsi="Calibri" w:cs="Calibri"/>
          <w:sz w:val="24"/>
          <w:szCs w:val="24"/>
        </w:rPr>
        <w:t>Suhardjanto</w:t>
      </w:r>
      <w:proofErr w:type="spellEnd"/>
      <w:r w:rsidRPr="00EB0F4E">
        <w:rPr>
          <w:rFonts w:ascii="Calibri" w:hAnsi="Calibri" w:cs="Calibri"/>
          <w:sz w:val="24"/>
          <w:szCs w:val="24"/>
        </w:rPr>
        <w:t xml:space="preserve"> et al., 2017). Here, the presence of younger board members is still considerably low. As a result, the circumstances make the practice of sustainability reporting still limited. Indeed, the older board members tend to be more ethical than the younger ones (</w:t>
      </w:r>
      <w:proofErr w:type="spellStart"/>
      <w:r w:rsidRPr="00EB0F4E">
        <w:rPr>
          <w:rFonts w:ascii="Calibri" w:hAnsi="Calibri" w:cs="Calibri"/>
          <w:sz w:val="24"/>
          <w:szCs w:val="24"/>
        </w:rPr>
        <w:t>Godos-Díez</w:t>
      </w:r>
      <w:proofErr w:type="spellEnd"/>
      <w:r w:rsidRPr="00EB0F4E">
        <w:rPr>
          <w:rFonts w:ascii="Calibri" w:hAnsi="Calibri" w:cs="Calibri"/>
          <w:sz w:val="24"/>
          <w:szCs w:val="24"/>
        </w:rPr>
        <w:t xml:space="preserve"> et al., 2011; Shahab et al., 2019; Zhang et al., 2018) and may support the intention from various stakeholders to practice sustainability reporting. However, the older board members tend to possess only the basic and general ideas of sustainability reporting and still have fewer practical insights about sustainability reporting as one of contemporary business practices that arises highly for the past decade. Thus, the existence of younger board members is needed as they will enrich the insights on sustainability reporting practice. It will extend the sustainability activities to broader area so that the coverage is higher. Further, it will be followed with higher level of disclosure so that sustainability report quality will also be increased.</w:t>
      </w:r>
    </w:p>
    <w:bookmarkEnd w:id="2"/>
    <w:bookmarkEnd w:id="3"/>
    <w:p w14:paraId="2A9EB321" w14:textId="77777777" w:rsidR="0069729B" w:rsidRPr="00EB0F4E" w:rsidRDefault="0069729B" w:rsidP="0069729B">
      <w:pPr>
        <w:widowControl w:val="0"/>
        <w:autoSpaceDE w:val="0"/>
        <w:autoSpaceDN w:val="0"/>
        <w:adjustRightInd w:val="0"/>
        <w:spacing w:after="0" w:line="240" w:lineRule="auto"/>
        <w:jc w:val="both"/>
        <w:rPr>
          <w:rFonts w:ascii="Calibri" w:hAnsi="Calibri" w:cs="Calibri"/>
          <w:b/>
          <w:bCs/>
          <w:sz w:val="24"/>
          <w:szCs w:val="24"/>
        </w:rPr>
      </w:pPr>
      <w:r w:rsidRPr="00EB0F4E">
        <w:rPr>
          <w:rFonts w:ascii="Calibri" w:hAnsi="Calibri" w:cs="Calibri"/>
          <w:b/>
          <w:bCs/>
          <w:sz w:val="24"/>
          <w:szCs w:val="24"/>
        </w:rPr>
        <w:tab/>
      </w:r>
    </w:p>
    <w:p w14:paraId="254ACB69" w14:textId="77777777" w:rsidR="0069729B" w:rsidRPr="00EB0F4E" w:rsidRDefault="0069729B" w:rsidP="0069729B">
      <w:pPr>
        <w:widowControl w:val="0"/>
        <w:autoSpaceDE w:val="0"/>
        <w:autoSpaceDN w:val="0"/>
        <w:adjustRightInd w:val="0"/>
        <w:spacing w:after="0" w:line="240" w:lineRule="auto"/>
        <w:jc w:val="both"/>
        <w:rPr>
          <w:rFonts w:ascii="Calibri" w:hAnsi="Calibri" w:cs="Calibri"/>
          <w:i/>
          <w:iCs/>
          <w:sz w:val="24"/>
          <w:szCs w:val="24"/>
        </w:rPr>
      </w:pPr>
      <w:r w:rsidRPr="00EB0F4E">
        <w:rPr>
          <w:rFonts w:ascii="Calibri" w:hAnsi="Calibri" w:cs="Calibri"/>
          <w:i/>
          <w:iCs/>
          <w:sz w:val="24"/>
          <w:szCs w:val="24"/>
        </w:rPr>
        <w:t>Board's education diversity and sustainability reporting</w:t>
      </w:r>
    </w:p>
    <w:p w14:paraId="416A4D7E" w14:textId="77777777" w:rsidR="0069729B" w:rsidRPr="00EB0F4E" w:rsidRDefault="0069729B" w:rsidP="0069729B">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ab/>
        <w:t xml:space="preserve">The study also evidences no significant effect of board’s education diversity on sustainability reporting in Indonesian listed banks. Indeed, the level of education diversity in Indonesian banks’ board members are quite low in which they are dominated with economics and business studies. The result is in line with </w:t>
      </w:r>
      <w:proofErr w:type="spellStart"/>
      <w:r w:rsidRPr="00EB0F4E">
        <w:rPr>
          <w:rFonts w:ascii="Calibri" w:hAnsi="Calibri" w:cs="Calibri"/>
          <w:sz w:val="24"/>
          <w:szCs w:val="24"/>
        </w:rPr>
        <w:t>Sumarta</w:t>
      </w:r>
      <w:proofErr w:type="spellEnd"/>
      <w:r w:rsidRPr="00EB0F4E">
        <w:rPr>
          <w:rFonts w:ascii="Calibri" w:hAnsi="Calibri" w:cs="Calibri"/>
          <w:sz w:val="24"/>
          <w:szCs w:val="24"/>
        </w:rPr>
        <w:t xml:space="preserve"> et al. (2021a) who finds no significant effect of the educational background of director in determining corporate CSR disclosure practices where the justification of educational background in the context of developed countries may not be fully applicable in developing countries. Furthermore, Prabowo et al. (2017) find that educational backgrounds in economics, business, and accounting exhibit no significant effect on corporate CSR disclosures in the banking industry in Indonesia. Educational background from both science and social sciences may not motivate board members to contribute more to sustainability issues. Huang (2013) also finds no significant relationship between education and corporate CSR information disclosure. Although many </w:t>
      </w:r>
      <w:r w:rsidRPr="00EB0F4E">
        <w:rPr>
          <w:rFonts w:ascii="Calibri" w:hAnsi="Calibri" w:cs="Calibri"/>
          <w:sz w:val="24"/>
          <w:szCs w:val="24"/>
        </w:rPr>
        <w:lastRenderedPageBreak/>
        <w:t>universities have paid attention to environmental issues to promote sustainable development and increase students' awareness of the issue, there is no guarantee that it will change student behavior. In fact, there is a tendency that education in business schools may still prioritize individualistic interests which emphasize efforts to maximize profits without respecting social responsibility (</w:t>
      </w:r>
      <w:proofErr w:type="spellStart"/>
      <w:r w:rsidRPr="00EB0F4E">
        <w:rPr>
          <w:rFonts w:ascii="Calibri" w:hAnsi="Calibri" w:cs="Calibri"/>
          <w:sz w:val="24"/>
          <w:szCs w:val="24"/>
        </w:rPr>
        <w:t>Alajoutsijärvi</w:t>
      </w:r>
      <w:proofErr w:type="spellEnd"/>
      <w:r w:rsidRPr="00EB0F4E">
        <w:rPr>
          <w:rFonts w:ascii="Calibri" w:hAnsi="Calibri" w:cs="Calibri"/>
          <w:sz w:val="24"/>
          <w:szCs w:val="24"/>
        </w:rPr>
        <w:t xml:space="preserve"> et al., 2015).</w:t>
      </w:r>
    </w:p>
    <w:p w14:paraId="7391F5AA" w14:textId="76B355A5" w:rsidR="0069729B" w:rsidRPr="00EB0F4E" w:rsidRDefault="0069729B" w:rsidP="0069729B">
      <w:pPr>
        <w:widowControl w:val="0"/>
        <w:autoSpaceDE w:val="0"/>
        <w:autoSpaceDN w:val="0"/>
        <w:adjustRightInd w:val="0"/>
        <w:spacing w:after="0" w:line="240" w:lineRule="auto"/>
        <w:jc w:val="both"/>
        <w:rPr>
          <w:rFonts w:ascii="Calibri" w:hAnsi="Calibri" w:cs="Calibri"/>
          <w:sz w:val="24"/>
          <w:szCs w:val="24"/>
        </w:rPr>
      </w:pPr>
      <w:r w:rsidRPr="00EB0F4E">
        <w:rPr>
          <w:rFonts w:ascii="Calibri" w:hAnsi="Calibri" w:cs="Calibri"/>
          <w:sz w:val="24"/>
          <w:szCs w:val="24"/>
        </w:rPr>
        <w:t xml:space="preserve"> </w:t>
      </w:r>
    </w:p>
    <w:p w14:paraId="418A703F" w14:textId="77777777" w:rsidR="0069729B" w:rsidRPr="00EB0F4E" w:rsidRDefault="0069729B" w:rsidP="0069729B">
      <w:pPr>
        <w:spacing w:after="0" w:line="240" w:lineRule="auto"/>
        <w:jc w:val="both"/>
        <w:rPr>
          <w:rFonts w:ascii="Calibri" w:eastAsia="Calibri" w:hAnsi="Calibri" w:cs="Calibri"/>
          <w:b/>
          <w:bCs/>
          <w:sz w:val="24"/>
          <w:szCs w:val="24"/>
        </w:rPr>
      </w:pPr>
      <w:r w:rsidRPr="00EB0F4E">
        <w:rPr>
          <w:rFonts w:ascii="Calibri" w:eastAsia="Calibri" w:hAnsi="Calibri" w:cs="Calibri"/>
          <w:b/>
          <w:bCs/>
          <w:sz w:val="24"/>
          <w:szCs w:val="24"/>
        </w:rPr>
        <w:t>Conclusion</w:t>
      </w:r>
    </w:p>
    <w:p w14:paraId="7700F388" w14:textId="77777777" w:rsidR="0069729B" w:rsidRPr="00EB0F4E" w:rsidRDefault="0069729B" w:rsidP="0069729B">
      <w:pPr>
        <w:spacing w:after="0" w:line="240" w:lineRule="auto"/>
        <w:jc w:val="both"/>
        <w:rPr>
          <w:rFonts w:ascii="Calibri" w:hAnsi="Calibri" w:cs="Calibri"/>
          <w:sz w:val="24"/>
          <w:szCs w:val="24"/>
        </w:rPr>
      </w:pPr>
      <w:r w:rsidRPr="00EB0F4E">
        <w:rPr>
          <w:rFonts w:ascii="Calibri" w:eastAsia="Calibri" w:hAnsi="Calibri" w:cs="Calibri"/>
          <w:sz w:val="24"/>
          <w:szCs w:val="24"/>
        </w:rPr>
        <w:tab/>
      </w:r>
      <w:r w:rsidRPr="00EB0F4E">
        <w:rPr>
          <w:rFonts w:ascii="Calibri" w:hAnsi="Calibri" w:cs="Calibri"/>
          <w:sz w:val="24"/>
          <w:szCs w:val="24"/>
        </w:rPr>
        <w:t xml:space="preserve">This study investigates the effect of board diversity and ownership structure on sustainability reporting in Indonesian listed banks. We use secondary data from banks' annual and sustainability report from 2014-2018, analyzed with panel data regression. We find that the implementation of sustainability reporting in Indonesian listed banks has not experienced significant improvement since the issuance of sustainable finance roadmap in 2014. Our empirical analysis result demonstrates that board’s gender diversity, foreign ownership, and government ownership have positive effect on sustainability reporting. Meanwhile, board’s nationality, age, and education diversity provide no significant effect. The study also provides an implication for sustainability reporting practice in Indonesia, specifically in the banking industry. The study suggests that it is quite urgent to improve the implementation of sustainability reporting in Indonesian banks, especially considering that this sector is appointed as the leading sector. This surely requires a large contribution from the firms as reporting entities and the OJK as business regulators. </w:t>
      </w:r>
    </w:p>
    <w:p w14:paraId="7A8B8FA7" w14:textId="5F83CC2B" w:rsidR="0069729B" w:rsidRDefault="0069729B" w:rsidP="0069729B">
      <w:pPr>
        <w:spacing w:after="0" w:line="240" w:lineRule="auto"/>
        <w:ind w:firstLine="720"/>
        <w:jc w:val="both"/>
        <w:rPr>
          <w:rFonts w:ascii="Calibri" w:hAnsi="Calibri" w:cs="Calibri"/>
          <w:sz w:val="24"/>
          <w:szCs w:val="24"/>
        </w:rPr>
      </w:pPr>
      <w:r w:rsidRPr="00EB0F4E">
        <w:rPr>
          <w:rFonts w:ascii="Calibri" w:hAnsi="Calibri" w:cs="Calibri"/>
          <w:sz w:val="24"/>
          <w:szCs w:val="24"/>
        </w:rPr>
        <w:t>Following the results of the study, firms should pay attention to the diversity of the board, especially when the level of board diversity is still low. Higher diversity can enrich the vision of the firm for better sustainability through strategic planning in various aspects. Therefore, the companies can benefit from corporate board diversity to improve the sustainability related activities, including sustainability reporting. The OJK as the business regulator can also promote higher level of board diversity in the firms to gain the positive impact and maximize the role of the board considering that the level of board diversity is still quite low in several aspects. OJK should also keep encouraging the business owners and the public to pay attention to sustainability so that the demand for sustainability reporting increases. OJK should increase the enforcement of POJK 51 implementation that relates to bank ownership such as ensuring that mandatory sustainability reporting for foreign banks and banks with larger asset classification practice. Harmonization of sustainability reporting regulation should also be considered to improve sustainability reporting practice (Afolabi et al., 2022). In regards with the future studies in this topic, future researchers can improve the study by employing mixed method by combining quantitative and qualitative analyses to enrich the findings. It will also be interesting to extend the coverage of the study to multi-countries context if the data are available.</w:t>
      </w:r>
    </w:p>
    <w:p w14:paraId="5E3C6C54" w14:textId="7007D0D0" w:rsidR="0058535D" w:rsidRDefault="0058535D" w:rsidP="0069729B">
      <w:pPr>
        <w:spacing w:after="0" w:line="240" w:lineRule="auto"/>
        <w:ind w:firstLine="720"/>
        <w:jc w:val="both"/>
        <w:rPr>
          <w:rFonts w:ascii="Calibri" w:hAnsi="Calibri" w:cs="Calibri"/>
          <w:sz w:val="24"/>
          <w:szCs w:val="24"/>
        </w:rPr>
      </w:pPr>
    </w:p>
    <w:p w14:paraId="76E2A3EF" w14:textId="6FB80913" w:rsidR="0058535D" w:rsidRDefault="0058535D" w:rsidP="0069729B">
      <w:pPr>
        <w:spacing w:after="0" w:line="240" w:lineRule="auto"/>
        <w:ind w:firstLine="720"/>
        <w:jc w:val="both"/>
        <w:rPr>
          <w:rFonts w:ascii="Calibri" w:hAnsi="Calibri" w:cs="Calibri"/>
          <w:sz w:val="24"/>
          <w:szCs w:val="24"/>
        </w:rPr>
      </w:pPr>
    </w:p>
    <w:p w14:paraId="0241047C" w14:textId="1355AFCA" w:rsidR="0058535D" w:rsidRDefault="0058535D" w:rsidP="0069729B">
      <w:pPr>
        <w:spacing w:after="0" w:line="240" w:lineRule="auto"/>
        <w:ind w:firstLine="720"/>
        <w:jc w:val="both"/>
        <w:rPr>
          <w:rFonts w:ascii="Calibri" w:hAnsi="Calibri" w:cs="Calibri"/>
          <w:sz w:val="24"/>
          <w:szCs w:val="24"/>
        </w:rPr>
      </w:pPr>
    </w:p>
    <w:p w14:paraId="59458857" w14:textId="5B8C45AC" w:rsidR="0058535D" w:rsidRDefault="0058535D" w:rsidP="0069729B">
      <w:pPr>
        <w:spacing w:after="0" w:line="240" w:lineRule="auto"/>
        <w:ind w:firstLine="720"/>
        <w:jc w:val="both"/>
        <w:rPr>
          <w:rFonts w:ascii="Calibri" w:hAnsi="Calibri" w:cs="Calibri"/>
          <w:sz w:val="24"/>
          <w:szCs w:val="24"/>
        </w:rPr>
      </w:pPr>
    </w:p>
    <w:p w14:paraId="2F59D00C" w14:textId="238F19CD" w:rsidR="0058535D" w:rsidRDefault="0058535D" w:rsidP="0069729B">
      <w:pPr>
        <w:spacing w:after="0" w:line="240" w:lineRule="auto"/>
        <w:ind w:firstLine="720"/>
        <w:jc w:val="both"/>
        <w:rPr>
          <w:rFonts w:ascii="Calibri" w:hAnsi="Calibri" w:cs="Calibri"/>
          <w:sz w:val="24"/>
          <w:szCs w:val="24"/>
        </w:rPr>
      </w:pPr>
    </w:p>
    <w:p w14:paraId="43DDA537" w14:textId="2917FD5B" w:rsidR="0058535D" w:rsidRDefault="0058535D" w:rsidP="0069729B">
      <w:pPr>
        <w:spacing w:after="0" w:line="240" w:lineRule="auto"/>
        <w:ind w:firstLine="720"/>
        <w:jc w:val="both"/>
        <w:rPr>
          <w:rFonts w:ascii="Calibri" w:hAnsi="Calibri" w:cs="Calibri"/>
          <w:sz w:val="24"/>
          <w:szCs w:val="24"/>
        </w:rPr>
      </w:pPr>
    </w:p>
    <w:p w14:paraId="185F65C0" w14:textId="1ECF3A7D" w:rsidR="0058535D" w:rsidRDefault="0058535D" w:rsidP="0069729B">
      <w:pPr>
        <w:spacing w:after="0" w:line="240" w:lineRule="auto"/>
        <w:ind w:firstLine="720"/>
        <w:jc w:val="both"/>
        <w:rPr>
          <w:rFonts w:ascii="Calibri" w:hAnsi="Calibri" w:cs="Calibri"/>
          <w:sz w:val="24"/>
          <w:szCs w:val="24"/>
        </w:rPr>
      </w:pPr>
    </w:p>
    <w:p w14:paraId="0F0388AF" w14:textId="159F48B1" w:rsidR="0058535D" w:rsidRDefault="0058535D" w:rsidP="0069729B">
      <w:pPr>
        <w:spacing w:after="0" w:line="240" w:lineRule="auto"/>
        <w:ind w:firstLine="720"/>
        <w:jc w:val="both"/>
        <w:rPr>
          <w:rFonts w:ascii="Calibri" w:hAnsi="Calibri" w:cs="Calibri"/>
          <w:sz w:val="24"/>
          <w:szCs w:val="24"/>
        </w:rPr>
      </w:pPr>
    </w:p>
    <w:p w14:paraId="1AB45ABC" w14:textId="77777777" w:rsidR="0058535D" w:rsidRPr="00EB0F4E" w:rsidRDefault="0058535D" w:rsidP="0069729B">
      <w:pPr>
        <w:spacing w:after="0" w:line="240" w:lineRule="auto"/>
        <w:ind w:firstLine="720"/>
        <w:jc w:val="both"/>
        <w:rPr>
          <w:rFonts w:ascii="Calibri" w:hAnsi="Calibri" w:cs="Calibri"/>
          <w:sz w:val="24"/>
          <w:szCs w:val="24"/>
        </w:rPr>
      </w:pPr>
    </w:p>
    <w:p w14:paraId="5713058F" w14:textId="57501154" w:rsidR="0069729B" w:rsidRPr="00EB0F4E" w:rsidRDefault="0069729B" w:rsidP="0069729B">
      <w:pPr>
        <w:spacing w:after="0" w:line="240" w:lineRule="auto"/>
        <w:jc w:val="both"/>
        <w:rPr>
          <w:rFonts w:ascii="Calibri" w:hAnsi="Calibri" w:cs="Calibri"/>
          <w:sz w:val="24"/>
          <w:szCs w:val="24"/>
        </w:rPr>
      </w:pPr>
    </w:p>
    <w:p w14:paraId="3180C6C7" w14:textId="77777777" w:rsidR="0069729B" w:rsidRPr="00EB0F4E" w:rsidRDefault="0069729B" w:rsidP="0069729B">
      <w:pPr>
        <w:spacing w:after="0" w:line="240" w:lineRule="auto"/>
        <w:jc w:val="both"/>
        <w:rPr>
          <w:rFonts w:ascii="Calibri" w:hAnsi="Calibri" w:cs="Calibri"/>
          <w:b/>
          <w:bCs/>
          <w:sz w:val="24"/>
          <w:szCs w:val="24"/>
        </w:rPr>
      </w:pPr>
      <w:r w:rsidRPr="00EB0F4E">
        <w:rPr>
          <w:rFonts w:ascii="Calibri" w:hAnsi="Calibri" w:cs="Calibri"/>
          <w:b/>
          <w:bCs/>
          <w:sz w:val="24"/>
          <w:szCs w:val="24"/>
        </w:rPr>
        <w:lastRenderedPageBreak/>
        <w:t>References</w:t>
      </w:r>
    </w:p>
    <w:p w14:paraId="34569E7B" w14:textId="77777777" w:rsidR="0069729B" w:rsidRPr="00EB0F4E" w:rsidRDefault="0069729B" w:rsidP="0069729B">
      <w:pPr>
        <w:spacing w:after="0" w:line="240" w:lineRule="auto"/>
        <w:ind w:left="567" w:hanging="567"/>
        <w:jc w:val="both"/>
        <w:rPr>
          <w:rFonts w:ascii="Calibri" w:hAnsi="Calibri" w:cs="Calibri"/>
          <w:sz w:val="24"/>
          <w:szCs w:val="24"/>
        </w:rPr>
      </w:pPr>
      <w:r w:rsidRPr="00EB0F4E">
        <w:rPr>
          <w:rFonts w:ascii="Calibri" w:hAnsi="Calibri" w:cs="Calibri"/>
          <w:sz w:val="24"/>
          <w:szCs w:val="24"/>
        </w:rPr>
        <w:t xml:space="preserve">Afolabi, H., Ram, R., &amp; Rimmel, G. (2022). Harmonization of Sustainability Reporting Regulation: Analysis of a Contested Arena. </w:t>
      </w:r>
      <w:r w:rsidRPr="00EB0F4E">
        <w:rPr>
          <w:rFonts w:ascii="Calibri" w:hAnsi="Calibri" w:cs="Calibri"/>
          <w:i/>
          <w:iCs/>
          <w:sz w:val="24"/>
          <w:szCs w:val="24"/>
        </w:rPr>
        <w:t>Sustainability (Switzerland)</w:t>
      </w:r>
      <w:r w:rsidRPr="00EB0F4E">
        <w:rPr>
          <w:rFonts w:ascii="Calibri" w:hAnsi="Calibri" w:cs="Calibri"/>
          <w:sz w:val="24"/>
          <w:szCs w:val="24"/>
        </w:rPr>
        <w:t xml:space="preserve">, </w:t>
      </w:r>
      <w:r w:rsidRPr="00EB0F4E">
        <w:rPr>
          <w:rFonts w:ascii="Calibri" w:hAnsi="Calibri" w:cs="Calibri"/>
          <w:i/>
          <w:iCs/>
          <w:sz w:val="24"/>
          <w:szCs w:val="24"/>
        </w:rPr>
        <w:t>14</w:t>
      </w:r>
      <w:r w:rsidRPr="00EB0F4E">
        <w:rPr>
          <w:rFonts w:ascii="Calibri" w:hAnsi="Calibri" w:cs="Calibri"/>
          <w:sz w:val="24"/>
          <w:szCs w:val="24"/>
        </w:rPr>
        <w:t>(9), 1–26. https://doi.org/10.3390/su14095517</w:t>
      </w:r>
    </w:p>
    <w:p w14:paraId="7A0A9485" w14:textId="5B9B1315" w:rsidR="0069729B" w:rsidRPr="00EB0F4E" w:rsidRDefault="0069729B" w:rsidP="0069729B">
      <w:pPr>
        <w:spacing w:after="0" w:line="240" w:lineRule="auto"/>
        <w:ind w:left="567" w:hanging="567"/>
        <w:jc w:val="both"/>
        <w:rPr>
          <w:rFonts w:ascii="Calibri" w:hAnsi="Calibri" w:cs="Calibri"/>
          <w:sz w:val="24"/>
          <w:szCs w:val="24"/>
        </w:rPr>
      </w:pPr>
      <w:r w:rsidRPr="00EB0F4E">
        <w:rPr>
          <w:rFonts w:ascii="Calibri" w:hAnsi="Calibri" w:cs="Calibri"/>
          <w:sz w:val="24"/>
          <w:szCs w:val="24"/>
        </w:rPr>
        <w:t>Al-</w:t>
      </w:r>
      <w:proofErr w:type="spellStart"/>
      <w:r w:rsidRPr="00EB0F4E">
        <w:rPr>
          <w:rFonts w:ascii="Calibri" w:hAnsi="Calibri" w:cs="Calibri"/>
          <w:sz w:val="24"/>
          <w:szCs w:val="24"/>
        </w:rPr>
        <w:t>Omoush</w:t>
      </w:r>
      <w:proofErr w:type="spellEnd"/>
      <w:r w:rsidRPr="00EB0F4E">
        <w:rPr>
          <w:rFonts w:ascii="Calibri" w:hAnsi="Calibri" w:cs="Calibri"/>
          <w:sz w:val="24"/>
          <w:szCs w:val="24"/>
        </w:rPr>
        <w:t>, K.</w:t>
      </w:r>
      <w:r>
        <w:rPr>
          <w:rFonts w:ascii="Calibri" w:hAnsi="Calibri" w:cs="Calibri"/>
          <w:sz w:val="24"/>
          <w:szCs w:val="24"/>
        </w:rPr>
        <w:t xml:space="preserve"> </w:t>
      </w:r>
      <w:r w:rsidRPr="00EB0F4E">
        <w:rPr>
          <w:rFonts w:ascii="Calibri" w:hAnsi="Calibri" w:cs="Calibri"/>
          <w:sz w:val="24"/>
          <w:szCs w:val="24"/>
        </w:rPr>
        <w:t xml:space="preserve">S. (2022), Drivers of digital corporate social responsibility during unprecedented crises: an institutional perspective, </w:t>
      </w:r>
      <w:proofErr w:type="spellStart"/>
      <w:r w:rsidRPr="00EB0F4E">
        <w:rPr>
          <w:rFonts w:ascii="Calibri" w:hAnsi="Calibri" w:cs="Calibri"/>
          <w:i/>
          <w:iCs/>
          <w:sz w:val="24"/>
          <w:szCs w:val="24"/>
        </w:rPr>
        <w:t>Kybernetes</w:t>
      </w:r>
      <w:proofErr w:type="spellEnd"/>
      <w:r w:rsidRPr="00EB0F4E">
        <w:rPr>
          <w:rFonts w:ascii="Calibri" w:hAnsi="Calibri" w:cs="Calibri"/>
          <w:sz w:val="24"/>
          <w:szCs w:val="24"/>
        </w:rPr>
        <w:t>, forthcoming. https://doi.org/10.1108/K-07-2022-0959</w:t>
      </w:r>
    </w:p>
    <w:p w14:paraId="02F0A93B" w14:textId="4FB48690" w:rsidR="0069729B" w:rsidRPr="00EB0F4E" w:rsidRDefault="0069729B" w:rsidP="0069729B">
      <w:pPr>
        <w:spacing w:after="0" w:line="240" w:lineRule="auto"/>
        <w:ind w:left="567" w:hanging="567"/>
        <w:jc w:val="both"/>
        <w:rPr>
          <w:rFonts w:ascii="Calibri" w:hAnsi="Calibri" w:cs="Calibri"/>
          <w:sz w:val="24"/>
          <w:szCs w:val="24"/>
        </w:rPr>
      </w:pPr>
      <w:proofErr w:type="spellStart"/>
      <w:r w:rsidRPr="00EB0F4E">
        <w:rPr>
          <w:rFonts w:ascii="Calibri" w:hAnsi="Calibri" w:cs="Calibri"/>
          <w:sz w:val="24"/>
          <w:szCs w:val="24"/>
        </w:rPr>
        <w:t>Alajoutsij</w:t>
      </w:r>
      <w:r>
        <w:rPr>
          <w:rFonts w:ascii="Calibri" w:hAnsi="Calibri" w:cs="Calibri"/>
          <w:sz w:val="24"/>
          <w:szCs w:val="24"/>
        </w:rPr>
        <w:t>a</w:t>
      </w:r>
      <w:r w:rsidRPr="00EB0F4E">
        <w:rPr>
          <w:rFonts w:ascii="Calibri" w:hAnsi="Calibri" w:cs="Calibri"/>
          <w:sz w:val="24"/>
          <w:szCs w:val="24"/>
        </w:rPr>
        <w:t>rvi</w:t>
      </w:r>
      <w:proofErr w:type="spellEnd"/>
      <w:r w:rsidRPr="00EB0F4E">
        <w:rPr>
          <w:rFonts w:ascii="Calibri" w:hAnsi="Calibri" w:cs="Calibri"/>
          <w:sz w:val="24"/>
          <w:szCs w:val="24"/>
        </w:rPr>
        <w:t xml:space="preserve">, K., </w:t>
      </w:r>
      <w:proofErr w:type="spellStart"/>
      <w:r w:rsidRPr="00EB0F4E">
        <w:rPr>
          <w:rFonts w:ascii="Calibri" w:hAnsi="Calibri" w:cs="Calibri"/>
          <w:sz w:val="24"/>
          <w:szCs w:val="24"/>
        </w:rPr>
        <w:t>Juusola</w:t>
      </w:r>
      <w:proofErr w:type="spellEnd"/>
      <w:r w:rsidRPr="00EB0F4E">
        <w:rPr>
          <w:rFonts w:ascii="Calibri" w:hAnsi="Calibri" w:cs="Calibri"/>
          <w:sz w:val="24"/>
          <w:szCs w:val="24"/>
        </w:rPr>
        <w:t xml:space="preserve">, K. &amp; </w:t>
      </w:r>
      <w:proofErr w:type="spellStart"/>
      <w:r w:rsidRPr="00EB0F4E">
        <w:rPr>
          <w:rFonts w:ascii="Calibri" w:hAnsi="Calibri" w:cs="Calibri"/>
          <w:sz w:val="24"/>
          <w:szCs w:val="24"/>
        </w:rPr>
        <w:t>Siltaoja</w:t>
      </w:r>
      <w:proofErr w:type="spellEnd"/>
      <w:r w:rsidRPr="00EB0F4E">
        <w:rPr>
          <w:rFonts w:ascii="Calibri" w:hAnsi="Calibri" w:cs="Calibri"/>
          <w:sz w:val="24"/>
          <w:szCs w:val="24"/>
        </w:rPr>
        <w:t xml:space="preserve">, M. (2015) The legitimacy paradox of business schools: losing by </w:t>
      </w:r>
      <w:proofErr w:type="gramStart"/>
      <w:r w:rsidRPr="00EB0F4E">
        <w:rPr>
          <w:rFonts w:ascii="Calibri" w:hAnsi="Calibri" w:cs="Calibri"/>
          <w:sz w:val="24"/>
          <w:szCs w:val="24"/>
        </w:rPr>
        <w:t>gaining?,</w:t>
      </w:r>
      <w:proofErr w:type="gramEnd"/>
      <w:r w:rsidRPr="00EB0F4E">
        <w:rPr>
          <w:rFonts w:ascii="Calibri" w:hAnsi="Calibri" w:cs="Calibri"/>
          <w:sz w:val="24"/>
          <w:szCs w:val="24"/>
        </w:rPr>
        <w:t xml:space="preserve"> </w:t>
      </w:r>
      <w:r w:rsidRPr="00EB0F4E">
        <w:rPr>
          <w:rFonts w:ascii="Calibri" w:hAnsi="Calibri" w:cs="Calibri"/>
          <w:i/>
          <w:iCs/>
          <w:sz w:val="24"/>
          <w:szCs w:val="24"/>
        </w:rPr>
        <w:t>Academy of Management Learning and Education</w:t>
      </w:r>
      <w:r w:rsidRPr="00EB0F4E">
        <w:rPr>
          <w:rFonts w:ascii="Calibri" w:hAnsi="Calibri" w:cs="Calibri"/>
          <w:sz w:val="24"/>
          <w:szCs w:val="24"/>
        </w:rPr>
        <w:t>, 14 (2), 277–291. https://doi.org/10.5465/amle.2013.0106</w:t>
      </w:r>
    </w:p>
    <w:p w14:paraId="6598FA19" w14:textId="77777777" w:rsidR="0069729B" w:rsidRPr="00EB0F4E" w:rsidRDefault="0069729B" w:rsidP="0069729B">
      <w:pPr>
        <w:spacing w:after="0" w:line="240" w:lineRule="auto"/>
        <w:ind w:left="567" w:hanging="567"/>
        <w:jc w:val="both"/>
        <w:rPr>
          <w:rFonts w:ascii="Calibri" w:hAnsi="Calibri" w:cs="Calibri"/>
          <w:sz w:val="24"/>
          <w:szCs w:val="24"/>
        </w:rPr>
      </w:pPr>
      <w:proofErr w:type="spellStart"/>
      <w:r w:rsidRPr="00EB0F4E">
        <w:rPr>
          <w:rFonts w:ascii="Calibri" w:hAnsi="Calibri" w:cs="Calibri"/>
          <w:sz w:val="24"/>
          <w:szCs w:val="24"/>
        </w:rPr>
        <w:t>Alimbudiono</w:t>
      </w:r>
      <w:proofErr w:type="spellEnd"/>
      <w:r w:rsidRPr="00EB0F4E">
        <w:rPr>
          <w:rFonts w:ascii="Calibri" w:hAnsi="Calibri" w:cs="Calibri"/>
          <w:sz w:val="24"/>
          <w:szCs w:val="24"/>
        </w:rPr>
        <w:t xml:space="preserve">, R. S., </w:t>
      </w:r>
      <w:proofErr w:type="spellStart"/>
      <w:r w:rsidRPr="00EB0F4E">
        <w:rPr>
          <w:rFonts w:ascii="Calibri" w:hAnsi="Calibri" w:cs="Calibri"/>
          <w:sz w:val="24"/>
          <w:szCs w:val="24"/>
        </w:rPr>
        <w:t>Kamallan</w:t>
      </w:r>
      <w:proofErr w:type="spellEnd"/>
      <w:r w:rsidRPr="00EB0F4E">
        <w:rPr>
          <w:rFonts w:ascii="Calibri" w:hAnsi="Calibri" w:cs="Calibri"/>
          <w:sz w:val="24"/>
          <w:szCs w:val="24"/>
        </w:rPr>
        <w:t xml:space="preserve">, M. P., </w:t>
      </w:r>
      <w:proofErr w:type="spellStart"/>
      <w:r w:rsidRPr="00EB0F4E">
        <w:rPr>
          <w:rFonts w:ascii="Calibri" w:hAnsi="Calibri" w:cs="Calibri"/>
          <w:sz w:val="24"/>
          <w:szCs w:val="24"/>
        </w:rPr>
        <w:t>Sawitri</w:t>
      </w:r>
      <w:proofErr w:type="spellEnd"/>
      <w:r w:rsidRPr="00EB0F4E">
        <w:rPr>
          <w:rFonts w:ascii="Calibri" w:hAnsi="Calibri" w:cs="Calibri"/>
          <w:sz w:val="24"/>
          <w:szCs w:val="24"/>
        </w:rPr>
        <w:t xml:space="preserve">, N. M., &amp; </w:t>
      </w:r>
      <w:proofErr w:type="spellStart"/>
      <w:r w:rsidRPr="00EB0F4E">
        <w:rPr>
          <w:rFonts w:ascii="Calibri" w:hAnsi="Calibri" w:cs="Calibri"/>
          <w:sz w:val="24"/>
          <w:szCs w:val="24"/>
        </w:rPr>
        <w:t>Titalia</w:t>
      </w:r>
      <w:proofErr w:type="spellEnd"/>
      <w:r w:rsidRPr="00EB0F4E">
        <w:rPr>
          <w:rFonts w:ascii="Calibri" w:hAnsi="Calibri" w:cs="Calibri"/>
          <w:sz w:val="24"/>
          <w:szCs w:val="24"/>
        </w:rPr>
        <w:t xml:space="preserve">, V. (2023). Volunteer or Forced: A Portrait of Sustainability Report in Indonesia. </w:t>
      </w:r>
      <w:r w:rsidRPr="00EB0F4E">
        <w:rPr>
          <w:rFonts w:ascii="Calibri" w:hAnsi="Calibri" w:cs="Calibri"/>
          <w:i/>
          <w:iCs/>
          <w:sz w:val="24"/>
          <w:szCs w:val="24"/>
        </w:rPr>
        <w:t>International Journal of Professional Business Review</w:t>
      </w:r>
      <w:r w:rsidRPr="00EB0F4E">
        <w:rPr>
          <w:rFonts w:ascii="Calibri" w:hAnsi="Calibri" w:cs="Calibri"/>
          <w:sz w:val="24"/>
          <w:szCs w:val="24"/>
        </w:rPr>
        <w:t>, 8(6), e0498. https://doi.org/10.26668/businessreview/2023.v8i6.498</w:t>
      </w:r>
    </w:p>
    <w:p w14:paraId="38BF7DBB" w14:textId="77777777" w:rsidR="0069729B" w:rsidRPr="00EB0F4E" w:rsidRDefault="0069729B" w:rsidP="0069729B">
      <w:pPr>
        <w:spacing w:after="0" w:line="240" w:lineRule="auto"/>
        <w:ind w:left="567" w:hanging="567"/>
        <w:jc w:val="both"/>
        <w:rPr>
          <w:rFonts w:ascii="Calibri" w:hAnsi="Calibri" w:cs="Calibri"/>
          <w:sz w:val="24"/>
          <w:szCs w:val="24"/>
        </w:rPr>
      </w:pPr>
      <w:proofErr w:type="spellStart"/>
      <w:r w:rsidRPr="00EB0F4E">
        <w:rPr>
          <w:rFonts w:ascii="Calibri" w:hAnsi="Calibri" w:cs="Calibri"/>
          <w:sz w:val="24"/>
          <w:szCs w:val="24"/>
        </w:rPr>
        <w:t>Amidjaya</w:t>
      </w:r>
      <w:proofErr w:type="spellEnd"/>
      <w:r w:rsidRPr="00EB0F4E">
        <w:rPr>
          <w:rFonts w:ascii="Calibri" w:hAnsi="Calibri" w:cs="Calibri"/>
          <w:sz w:val="24"/>
          <w:szCs w:val="24"/>
        </w:rPr>
        <w:t xml:space="preserve">, P. G., &amp; </w:t>
      </w:r>
      <w:proofErr w:type="spellStart"/>
      <w:r w:rsidRPr="00EB0F4E">
        <w:rPr>
          <w:rFonts w:ascii="Calibri" w:hAnsi="Calibri" w:cs="Calibri"/>
          <w:sz w:val="24"/>
          <w:szCs w:val="24"/>
        </w:rPr>
        <w:t>Widagdo</w:t>
      </w:r>
      <w:proofErr w:type="spellEnd"/>
      <w:r w:rsidRPr="00EB0F4E">
        <w:rPr>
          <w:rFonts w:ascii="Calibri" w:hAnsi="Calibri" w:cs="Calibri"/>
          <w:sz w:val="24"/>
          <w:szCs w:val="24"/>
        </w:rPr>
        <w:t xml:space="preserve">, A. K. (2019). Sustainability reporting in Indonesian listed banks: Do corporate governance, ownership structure and digital banking matter? </w:t>
      </w:r>
      <w:r w:rsidRPr="00EB0F4E">
        <w:rPr>
          <w:rFonts w:ascii="Calibri" w:hAnsi="Calibri" w:cs="Calibri"/>
          <w:i/>
          <w:iCs/>
          <w:sz w:val="24"/>
          <w:szCs w:val="24"/>
        </w:rPr>
        <w:t>Journal of Applied Accounting Research</w:t>
      </w:r>
      <w:r w:rsidRPr="00EB0F4E">
        <w:rPr>
          <w:rFonts w:ascii="Calibri" w:hAnsi="Calibri" w:cs="Calibri"/>
          <w:sz w:val="24"/>
          <w:szCs w:val="24"/>
        </w:rPr>
        <w:t xml:space="preserve">, </w:t>
      </w:r>
      <w:r w:rsidRPr="00EB0F4E">
        <w:rPr>
          <w:rFonts w:ascii="Calibri" w:hAnsi="Calibri" w:cs="Calibri"/>
          <w:i/>
          <w:iCs/>
          <w:sz w:val="24"/>
          <w:szCs w:val="24"/>
        </w:rPr>
        <w:t>21</w:t>
      </w:r>
      <w:r w:rsidRPr="00EB0F4E">
        <w:rPr>
          <w:rFonts w:ascii="Calibri" w:hAnsi="Calibri" w:cs="Calibri"/>
          <w:sz w:val="24"/>
          <w:szCs w:val="24"/>
        </w:rPr>
        <w:t>(2), 231–247. https://doi.org/10.1108/JAAR-09-2018-0149</w:t>
      </w:r>
    </w:p>
    <w:p w14:paraId="254747F3" w14:textId="77777777" w:rsidR="0069729B" w:rsidRPr="00EB0F4E" w:rsidRDefault="0069729B" w:rsidP="0069729B">
      <w:pPr>
        <w:spacing w:after="0" w:line="240" w:lineRule="auto"/>
        <w:ind w:left="567" w:hanging="567"/>
        <w:jc w:val="both"/>
        <w:rPr>
          <w:rFonts w:ascii="Calibri" w:hAnsi="Calibri" w:cs="Calibri"/>
          <w:sz w:val="24"/>
          <w:szCs w:val="24"/>
        </w:rPr>
      </w:pPr>
      <w:r w:rsidRPr="00EB0F4E">
        <w:rPr>
          <w:rFonts w:ascii="Calibri" w:hAnsi="Calibri" w:cs="Calibri"/>
          <w:sz w:val="24"/>
          <w:szCs w:val="24"/>
        </w:rPr>
        <w:t xml:space="preserve">Amore, M. D., </w:t>
      </w:r>
      <w:proofErr w:type="spellStart"/>
      <w:r w:rsidRPr="00EB0F4E">
        <w:rPr>
          <w:rFonts w:ascii="Calibri" w:hAnsi="Calibri" w:cs="Calibri"/>
          <w:sz w:val="24"/>
          <w:szCs w:val="24"/>
        </w:rPr>
        <w:t>Bennedsen</w:t>
      </w:r>
      <w:proofErr w:type="spellEnd"/>
      <w:r w:rsidRPr="00EB0F4E">
        <w:rPr>
          <w:rFonts w:ascii="Calibri" w:hAnsi="Calibri" w:cs="Calibri"/>
          <w:sz w:val="24"/>
          <w:szCs w:val="24"/>
        </w:rPr>
        <w:t xml:space="preserve">, M., Larsen, B., &amp; Rosenbaum, P. (2019). CEO education and corporate environmental footprint. </w:t>
      </w:r>
      <w:r w:rsidRPr="00EB0F4E">
        <w:rPr>
          <w:rFonts w:ascii="Calibri" w:hAnsi="Calibri" w:cs="Calibri"/>
          <w:i/>
          <w:iCs/>
          <w:sz w:val="24"/>
          <w:szCs w:val="24"/>
        </w:rPr>
        <w:t>Journal of Environmental Economics and Management</w:t>
      </w:r>
      <w:r w:rsidRPr="00EB0F4E">
        <w:rPr>
          <w:rFonts w:ascii="Calibri" w:hAnsi="Calibri" w:cs="Calibri"/>
          <w:sz w:val="24"/>
          <w:szCs w:val="24"/>
        </w:rPr>
        <w:t>, 94, 254-273. https://doi.org/10.1016/j.jeem.2019.02.001</w:t>
      </w:r>
    </w:p>
    <w:p w14:paraId="3AA00706" w14:textId="77777777" w:rsidR="0069729B" w:rsidRPr="00EB0F4E" w:rsidRDefault="0069729B" w:rsidP="0069729B">
      <w:pPr>
        <w:spacing w:after="0" w:line="240" w:lineRule="auto"/>
        <w:ind w:left="567" w:hanging="567"/>
        <w:jc w:val="both"/>
        <w:rPr>
          <w:rFonts w:ascii="Calibri" w:hAnsi="Calibri" w:cs="Calibri"/>
          <w:sz w:val="24"/>
          <w:szCs w:val="24"/>
        </w:rPr>
      </w:pPr>
      <w:proofErr w:type="spellStart"/>
      <w:r w:rsidRPr="00EB0F4E">
        <w:rPr>
          <w:rFonts w:ascii="Calibri" w:hAnsi="Calibri" w:cs="Calibri"/>
          <w:sz w:val="24"/>
          <w:szCs w:val="24"/>
        </w:rPr>
        <w:t>Arayssi</w:t>
      </w:r>
      <w:proofErr w:type="spellEnd"/>
      <w:r w:rsidRPr="00EB0F4E">
        <w:rPr>
          <w:rFonts w:ascii="Calibri" w:hAnsi="Calibri" w:cs="Calibri"/>
          <w:sz w:val="24"/>
          <w:szCs w:val="24"/>
        </w:rPr>
        <w:t xml:space="preserve">, M., Dah, M., &amp; </w:t>
      </w:r>
      <w:proofErr w:type="spellStart"/>
      <w:r w:rsidRPr="00EB0F4E">
        <w:rPr>
          <w:rFonts w:ascii="Calibri" w:hAnsi="Calibri" w:cs="Calibri"/>
          <w:sz w:val="24"/>
          <w:szCs w:val="24"/>
        </w:rPr>
        <w:t>Jizi</w:t>
      </w:r>
      <w:proofErr w:type="spellEnd"/>
      <w:r w:rsidRPr="00EB0F4E">
        <w:rPr>
          <w:rFonts w:ascii="Calibri" w:hAnsi="Calibri" w:cs="Calibri"/>
          <w:sz w:val="24"/>
          <w:szCs w:val="24"/>
        </w:rPr>
        <w:t xml:space="preserve">, M. (2016). Women on boards, sustainability reporting and firm performance. </w:t>
      </w:r>
      <w:r w:rsidRPr="00EB0F4E">
        <w:rPr>
          <w:rFonts w:ascii="Calibri" w:hAnsi="Calibri" w:cs="Calibri"/>
          <w:i/>
          <w:iCs/>
          <w:sz w:val="24"/>
          <w:szCs w:val="24"/>
        </w:rPr>
        <w:t>Sustainability Accounting, Management and Policy Journal</w:t>
      </w:r>
      <w:r w:rsidRPr="00EB0F4E">
        <w:rPr>
          <w:rFonts w:ascii="Calibri" w:hAnsi="Calibri" w:cs="Calibri"/>
          <w:sz w:val="24"/>
          <w:szCs w:val="24"/>
        </w:rPr>
        <w:t>, 7(3), 376-401. https://doi.org/10.1108/SAMPJ-07-2015-0055</w:t>
      </w:r>
    </w:p>
    <w:p w14:paraId="283A518A" w14:textId="77777777" w:rsidR="0069729B" w:rsidRPr="00EB0F4E" w:rsidRDefault="0069729B" w:rsidP="0069729B">
      <w:pPr>
        <w:spacing w:after="0" w:line="240" w:lineRule="auto"/>
        <w:ind w:left="567" w:hanging="567"/>
        <w:jc w:val="both"/>
        <w:rPr>
          <w:rFonts w:ascii="Calibri" w:hAnsi="Calibri" w:cs="Calibri"/>
          <w:sz w:val="24"/>
          <w:szCs w:val="24"/>
        </w:rPr>
      </w:pPr>
      <w:r w:rsidRPr="00EB0F4E">
        <w:rPr>
          <w:rFonts w:ascii="Calibri" w:hAnsi="Calibri" w:cs="Calibri"/>
          <w:sz w:val="24"/>
          <w:szCs w:val="24"/>
        </w:rPr>
        <w:t xml:space="preserve">Arora, A. (2022). Gender diversity in boardroom and its impact on firm performance. </w:t>
      </w:r>
      <w:r w:rsidRPr="00EB0F4E">
        <w:rPr>
          <w:rFonts w:ascii="Calibri" w:hAnsi="Calibri" w:cs="Calibri"/>
          <w:i/>
          <w:iCs/>
          <w:sz w:val="24"/>
          <w:szCs w:val="24"/>
        </w:rPr>
        <w:t>Journal of Management and Governance</w:t>
      </w:r>
      <w:r w:rsidRPr="00EB0F4E">
        <w:rPr>
          <w:rFonts w:ascii="Calibri" w:hAnsi="Calibri" w:cs="Calibri"/>
          <w:sz w:val="24"/>
          <w:szCs w:val="24"/>
        </w:rPr>
        <w:t>, 26(3), 735-755. https://doi.org/10.1007/s10997-021-09573-x</w:t>
      </w:r>
    </w:p>
    <w:p w14:paraId="6056E53C" w14:textId="7E240DE3" w:rsidR="0069729B" w:rsidRPr="00EB0F4E" w:rsidRDefault="0069729B" w:rsidP="0069729B">
      <w:pPr>
        <w:spacing w:after="0" w:line="240" w:lineRule="auto"/>
        <w:ind w:left="567" w:hanging="567"/>
        <w:jc w:val="both"/>
        <w:rPr>
          <w:rFonts w:ascii="Calibri" w:hAnsi="Calibri" w:cs="Calibri"/>
          <w:sz w:val="24"/>
          <w:szCs w:val="24"/>
        </w:rPr>
      </w:pPr>
      <w:proofErr w:type="spellStart"/>
      <w:r w:rsidRPr="00EB0F4E">
        <w:rPr>
          <w:rFonts w:ascii="Calibri" w:hAnsi="Calibri" w:cs="Calibri"/>
          <w:sz w:val="24"/>
          <w:szCs w:val="24"/>
        </w:rPr>
        <w:t>Bauwhede</w:t>
      </w:r>
      <w:proofErr w:type="spellEnd"/>
      <w:r w:rsidRPr="00EB0F4E">
        <w:rPr>
          <w:rFonts w:ascii="Calibri" w:hAnsi="Calibri" w:cs="Calibri"/>
          <w:sz w:val="24"/>
          <w:szCs w:val="24"/>
        </w:rPr>
        <w:t>, H. V</w:t>
      </w:r>
      <w:r>
        <w:rPr>
          <w:rFonts w:ascii="Calibri" w:hAnsi="Calibri" w:cs="Calibri"/>
          <w:sz w:val="24"/>
          <w:szCs w:val="24"/>
        </w:rPr>
        <w:t>.</w:t>
      </w:r>
      <w:r w:rsidRPr="00EB0F4E">
        <w:rPr>
          <w:rFonts w:ascii="Calibri" w:hAnsi="Calibri" w:cs="Calibri"/>
          <w:sz w:val="24"/>
          <w:szCs w:val="24"/>
        </w:rPr>
        <w:t xml:space="preserve">, &amp; Van </w:t>
      </w:r>
      <w:proofErr w:type="spellStart"/>
      <w:r w:rsidRPr="00EB0F4E">
        <w:rPr>
          <w:rFonts w:ascii="Calibri" w:hAnsi="Calibri" w:cs="Calibri"/>
          <w:sz w:val="24"/>
          <w:szCs w:val="24"/>
        </w:rPr>
        <w:t>Cauwenberge</w:t>
      </w:r>
      <w:proofErr w:type="spellEnd"/>
      <w:r w:rsidRPr="00EB0F4E">
        <w:rPr>
          <w:rFonts w:ascii="Calibri" w:hAnsi="Calibri" w:cs="Calibri"/>
          <w:sz w:val="24"/>
          <w:szCs w:val="24"/>
        </w:rPr>
        <w:t xml:space="preserve">, P. (2022). Determinants and Value Relevance of Voluntary Assurance of Sustainability Reports in a Mandatory Reporting Context: Evidence from Europe. </w:t>
      </w:r>
      <w:r w:rsidRPr="00EB0F4E">
        <w:rPr>
          <w:rFonts w:ascii="Calibri" w:hAnsi="Calibri" w:cs="Calibri"/>
          <w:i/>
          <w:iCs/>
          <w:sz w:val="24"/>
          <w:szCs w:val="24"/>
        </w:rPr>
        <w:t>Sustainability (Switzerland)</w:t>
      </w:r>
      <w:r w:rsidRPr="00EB0F4E">
        <w:rPr>
          <w:rFonts w:ascii="Calibri" w:hAnsi="Calibri" w:cs="Calibri"/>
          <w:sz w:val="24"/>
          <w:szCs w:val="24"/>
        </w:rPr>
        <w:t xml:space="preserve">, </w:t>
      </w:r>
      <w:r w:rsidRPr="00EB0F4E">
        <w:rPr>
          <w:rFonts w:ascii="Calibri" w:hAnsi="Calibri" w:cs="Calibri"/>
          <w:i/>
          <w:iCs/>
          <w:sz w:val="24"/>
          <w:szCs w:val="24"/>
        </w:rPr>
        <w:t>14</w:t>
      </w:r>
      <w:r w:rsidRPr="00EB0F4E">
        <w:rPr>
          <w:rFonts w:ascii="Calibri" w:hAnsi="Calibri" w:cs="Calibri"/>
          <w:sz w:val="24"/>
          <w:szCs w:val="24"/>
        </w:rPr>
        <w:t>(15), 1–14. https://doi.org/10.3390/su14159795</w:t>
      </w:r>
    </w:p>
    <w:p w14:paraId="00A5214B" w14:textId="27CF0873" w:rsidR="0069729B" w:rsidRPr="00EB0F4E" w:rsidRDefault="0069729B" w:rsidP="0069729B">
      <w:pPr>
        <w:spacing w:after="0" w:line="240" w:lineRule="auto"/>
        <w:ind w:left="567" w:hanging="567"/>
        <w:jc w:val="both"/>
        <w:rPr>
          <w:rFonts w:ascii="Calibri" w:hAnsi="Calibri" w:cs="Calibri"/>
          <w:sz w:val="24"/>
          <w:szCs w:val="24"/>
        </w:rPr>
      </w:pPr>
      <w:proofErr w:type="spellStart"/>
      <w:r w:rsidRPr="00EB0F4E">
        <w:rPr>
          <w:rFonts w:ascii="Calibri" w:hAnsi="Calibri" w:cs="Calibri"/>
          <w:sz w:val="24"/>
          <w:szCs w:val="24"/>
        </w:rPr>
        <w:t>Carr</w:t>
      </w:r>
      <w:proofErr w:type="spellEnd"/>
      <w:r w:rsidRPr="00EB0F4E">
        <w:rPr>
          <w:rFonts w:ascii="Calibri" w:hAnsi="Calibri" w:cs="Calibri"/>
          <w:sz w:val="24"/>
          <w:szCs w:val="24"/>
        </w:rPr>
        <w:t>, J.</w:t>
      </w:r>
      <w:r>
        <w:rPr>
          <w:rFonts w:ascii="Calibri" w:hAnsi="Calibri" w:cs="Calibri"/>
          <w:sz w:val="24"/>
          <w:szCs w:val="24"/>
        </w:rPr>
        <w:t xml:space="preserve"> </w:t>
      </w:r>
      <w:r w:rsidRPr="00EB0F4E">
        <w:rPr>
          <w:rFonts w:ascii="Calibri" w:hAnsi="Calibri" w:cs="Calibri"/>
          <w:sz w:val="24"/>
          <w:szCs w:val="24"/>
        </w:rPr>
        <w:t>B., &amp; Brower, R.</w:t>
      </w:r>
      <w:r>
        <w:rPr>
          <w:rFonts w:ascii="Calibri" w:hAnsi="Calibri" w:cs="Calibri"/>
          <w:sz w:val="24"/>
          <w:szCs w:val="24"/>
        </w:rPr>
        <w:t xml:space="preserve"> </w:t>
      </w:r>
      <w:r w:rsidRPr="00EB0F4E">
        <w:rPr>
          <w:rFonts w:ascii="Calibri" w:hAnsi="Calibri" w:cs="Calibri"/>
          <w:sz w:val="24"/>
          <w:szCs w:val="24"/>
        </w:rPr>
        <w:t xml:space="preserve">S. (2000). Principled opportunism: Evidence from the organizational middle. </w:t>
      </w:r>
      <w:r w:rsidRPr="00EB0F4E">
        <w:rPr>
          <w:rFonts w:ascii="Calibri" w:hAnsi="Calibri" w:cs="Calibri"/>
          <w:i/>
          <w:iCs/>
          <w:sz w:val="24"/>
          <w:szCs w:val="24"/>
        </w:rPr>
        <w:t>Public Administration Quarterly</w:t>
      </w:r>
      <w:r w:rsidRPr="00EB0F4E">
        <w:rPr>
          <w:rFonts w:ascii="Calibri" w:hAnsi="Calibri" w:cs="Calibri"/>
          <w:sz w:val="24"/>
          <w:szCs w:val="24"/>
        </w:rPr>
        <w:t>, 109-138.</w:t>
      </w:r>
    </w:p>
    <w:p w14:paraId="59FADC56" w14:textId="77777777" w:rsidR="0069729B" w:rsidRPr="00EB0F4E" w:rsidRDefault="0069729B" w:rsidP="0069729B">
      <w:pPr>
        <w:spacing w:after="0" w:line="240" w:lineRule="auto"/>
        <w:ind w:left="567" w:hanging="567"/>
        <w:jc w:val="both"/>
        <w:rPr>
          <w:rFonts w:ascii="Calibri" w:hAnsi="Calibri" w:cs="Calibri"/>
          <w:sz w:val="24"/>
          <w:szCs w:val="24"/>
        </w:rPr>
      </w:pPr>
      <w:r w:rsidRPr="00EB0F4E">
        <w:rPr>
          <w:rFonts w:ascii="Calibri" w:hAnsi="Calibri" w:cs="Calibri"/>
          <w:sz w:val="24"/>
          <w:szCs w:val="24"/>
        </w:rPr>
        <w:t xml:space="preserve">Chen, H. L., Chang, C. Y., &amp; Hsu, W. T. (2017). Does board co-working experience influence directors’ decisions toward </w:t>
      </w:r>
      <w:proofErr w:type="gramStart"/>
      <w:r w:rsidRPr="00EB0F4E">
        <w:rPr>
          <w:rFonts w:ascii="Calibri" w:hAnsi="Calibri" w:cs="Calibri"/>
          <w:sz w:val="24"/>
          <w:szCs w:val="24"/>
        </w:rPr>
        <w:t>internationalization?.</w:t>
      </w:r>
      <w:proofErr w:type="gramEnd"/>
      <w:r w:rsidRPr="00EB0F4E">
        <w:rPr>
          <w:rFonts w:ascii="Calibri" w:hAnsi="Calibri" w:cs="Calibri"/>
          <w:sz w:val="24"/>
          <w:szCs w:val="24"/>
        </w:rPr>
        <w:t xml:space="preserve"> </w:t>
      </w:r>
      <w:r w:rsidRPr="00EB0F4E">
        <w:rPr>
          <w:rFonts w:ascii="Calibri" w:hAnsi="Calibri" w:cs="Calibri"/>
          <w:i/>
          <w:iCs/>
          <w:sz w:val="24"/>
          <w:szCs w:val="24"/>
        </w:rPr>
        <w:t>Management International Review</w:t>
      </w:r>
      <w:r w:rsidRPr="00EB0F4E">
        <w:rPr>
          <w:rFonts w:ascii="Calibri" w:hAnsi="Calibri" w:cs="Calibri"/>
          <w:sz w:val="24"/>
          <w:szCs w:val="24"/>
        </w:rPr>
        <w:t>, 57, 65-92. https://doi.org/10.1007/s11575-016-0309-4</w:t>
      </w:r>
    </w:p>
    <w:p w14:paraId="07E3C1E3" w14:textId="77777777" w:rsidR="0069729B" w:rsidRPr="00EB0F4E" w:rsidRDefault="0069729B" w:rsidP="0069729B">
      <w:pPr>
        <w:spacing w:after="0" w:line="240" w:lineRule="auto"/>
        <w:ind w:left="567" w:hanging="567"/>
        <w:jc w:val="both"/>
        <w:rPr>
          <w:rFonts w:ascii="Calibri" w:hAnsi="Calibri" w:cs="Calibri"/>
          <w:sz w:val="24"/>
          <w:szCs w:val="24"/>
        </w:rPr>
      </w:pPr>
      <w:proofErr w:type="spellStart"/>
      <w:r w:rsidRPr="00EB0F4E">
        <w:rPr>
          <w:rFonts w:ascii="Calibri" w:hAnsi="Calibri" w:cs="Calibri"/>
          <w:sz w:val="24"/>
          <w:szCs w:val="24"/>
        </w:rPr>
        <w:t>Darmadi</w:t>
      </w:r>
      <w:proofErr w:type="spellEnd"/>
      <w:r w:rsidRPr="00EB0F4E">
        <w:rPr>
          <w:rFonts w:ascii="Calibri" w:hAnsi="Calibri" w:cs="Calibri"/>
          <w:sz w:val="24"/>
          <w:szCs w:val="24"/>
        </w:rPr>
        <w:t xml:space="preserve">, S. (2011). Board diversity and firm performance: The Indonesian evidence. </w:t>
      </w:r>
      <w:r w:rsidRPr="00EB0F4E">
        <w:rPr>
          <w:rFonts w:ascii="Calibri" w:hAnsi="Calibri" w:cs="Calibri"/>
          <w:i/>
          <w:iCs/>
          <w:sz w:val="24"/>
          <w:szCs w:val="24"/>
        </w:rPr>
        <w:t>Corporate Ownership and Control</w:t>
      </w:r>
      <w:r w:rsidRPr="00EB0F4E">
        <w:rPr>
          <w:rFonts w:ascii="Calibri" w:hAnsi="Calibri" w:cs="Calibri"/>
          <w:sz w:val="24"/>
          <w:szCs w:val="24"/>
        </w:rPr>
        <w:t xml:space="preserve">, 8(1), 524-539. </w:t>
      </w:r>
    </w:p>
    <w:p w14:paraId="4791DCF5" w14:textId="77777777" w:rsidR="0069729B" w:rsidRPr="00EB0F4E" w:rsidRDefault="0069729B" w:rsidP="0069729B">
      <w:pPr>
        <w:spacing w:after="0" w:line="240" w:lineRule="auto"/>
        <w:ind w:left="567" w:hanging="567"/>
        <w:jc w:val="both"/>
        <w:rPr>
          <w:rFonts w:ascii="Calibri" w:hAnsi="Calibri" w:cs="Calibri"/>
          <w:sz w:val="24"/>
          <w:szCs w:val="24"/>
        </w:rPr>
      </w:pPr>
      <w:r w:rsidRPr="00EB0F4E">
        <w:rPr>
          <w:rFonts w:ascii="Calibri" w:hAnsi="Calibri" w:cs="Calibri"/>
          <w:sz w:val="24"/>
          <w:szCs w:val="24"/>
        </w:rPr>
        <w:t xml:space="preserve">De Villiers, C., &amp; Hsiao, P. C. K. (2017). Why organizations voluntarily report–agency theory. In </w:t>
      </w:r>
      <w:r w:rsidRPr="00EB0F4E">
        <w:rPr>
          <w:rFonts w:ascii="Calibri" w:hAnsi="Calibri" w:cs="Calibri"/>
          <w:i/>
          <w:iCs/>
          <w:sz w:val="24"/>
          <w:szCs w:val="24"/>
        </w:rPr>
        <w:t>Sustainability accounting and integrated reporting</w:t>
      </w:r>
      <w:r w:rsidRPr="00EB0F4E">
        <w:rPr>
          <w:rFonts w:ascii="Calibri" w:hAnsi="Calibri" w:cs="Calibri"/>
          <w:sz w:val="24"/>
          <w:szCs w:val="24"/>
        </w:rPr>
        <w:t xml:space="preserve"> (pp. 49-56). Abingdon: Routledge.</w:t>
      </w:r>
    </w:p>
    <w:p w14:paraId="41D68563" w14:textId="77777777" w:rsidR="0069729B" w:rsidRPr="00EB0F4E" w:rsidRDefault="0069729B" w:rsidP="0069729B">
      <w:pPr>
        <w:spacing w:after="0" w:line="240" w:lineRule="auto"/>
        <w:ind w:left="567" w:hanging="567"/>
        <w:jc w:val="both"/>
        <w:rPr>
          <w:rFonts w:ascii="Calibri" w:hAnsi="Calibri" w:cs="Calibri"/>
          <w:sz w:val="24"/>
          <w:szCs w:val="24"/>
        </w:rPr>
      </w:pPr>
      <w:proofErr w:type="spellStart"/>
      <w:r w:rsidRPr="00EB0F4E">
        <w:rPr>
          <w:rFonts w:ascii="Calibri" w:hAnsi="Calibri" w:cs="Calibri"/>
          <w:sz w:val="24"/>
          <w:szCs w:val="24"/>
        </w:rPr>
        <w:t>Djajadikerta</w:t>
      </w:r>
      <w:proofErr w:type="spellEnd"/>
      <w:r w:rsidRPr="00EB0F4E">
        <w:rPr>
          <w:rFonts w:ascii="Calibri" w:hAnsi="Calibri" w:cs="Calibri"/>
          <w:sz w:val="24"/>
          <w:szCs w:val="24"/>
        </w:rPr>
        <w:t xml:space="preserve">, H. G., &amp; </w:t>
      </w:r>
      <w:proofErr w:type="spellStart"/>
      <w:r w:rsidRPr="00EB0F4E">
        <w:rPr>
          <w:rFonts w:ascii="Calibri" w:hAnsi="Calibri" w:cs="Calibri"/>
          <w:sz w:val="24"/>
          <w:szCs w:val="24"/>
        </w:rPr>
        <w:t>Trireksani</w:t>
      </w:r>
      <w:proofErr w:type="spellEnd"/>
      <w:r w:rsidRPr="00EB0F4E">
        <w:rPr>
          <w:rFonts w:ascii="Calibri" w:hAnsi="Calibri" w:cs="Calibri"/>
          <w:sz w:val="24"/>
          <w:szCs w:val="24"/>
        </w:rPr>
        <w:t xml:space="preserve">, T. (2012). Corporate social and environmental disclosure by Indonesian listed companies on their corporate web sites. </w:t>
      </w:r>
      <w:r w:rsidRPr="00EB0F4E">
        <w:rPr>
          <w:rFonts w:ascii="Calibri" w:hAnsi="Calibri" w:cs="Calibri"/>
          <w:i/>
          <w:iCs/>
          <w:sz w:val="24"/>
          <w:szCs w:val="24"/>
        </w:rPr>
        <w:t>Journal of Applied Accounting Research,</w:t>
      </w:r>
      <w:r w:rsidRPr="00EB0F4E">
        <w:rPr>
          <w:rFonts w:ascii="Calibri" w:hAnsi="Calibri" w:cs="Calibri"/>
          <w:sz w:val="24"/>
          <w:szCs w:val="24"/>
        </w:rPr>
        <w:t xml:space="preserve"> 13(1), 21-36. https://doi.org/10.1108/09675421211231899</w:t>
      </w:r>
    </w:p>
    <w:p w14:paraId="5DC7ED65" w14:textId="77777777" w:rsidR="0069729B" w:rsidRPr="00EB0F4E" w:rsidRDefault="0069729B" w:rsidP="0069729B">
      <w:pPr>
        <w:spacing w:after="0" w:line="240" w:lineRule="auto"/>
        <w:ind w:left="567" w:hanging="567"/>
        <w:jc w:val="both"/>
        <w:rPr>
          <w:rFonts w:ascii="Calibri" w:hAnsi="Calibri" w:cs="Calibri"/>
          <w:sz w:val="24"/>
          <w:szCs w:val="24"/>
        </w:rPr>
      </w:pPr>
      <w:proofErr w:type="spellStart"/>
      <w:r w:rsidRPr="00EB0F4E">
        <w:rPr>
          <w:rFonts w:ascii="Calibri" w:hAnsi="Calibri" w:cs="Calibri"/>
          <w:sz w:val="24"/>
          <w:szCs w:val="24"/>
        </w:rPr>
        <w:t>Duppati</w:t>
      </w:r>
      <w:proofErr w:type="spellEnd"/>
      <w:r w:rsidRPr="00EB0F4E">
        <w:rPr>
          <w:rFonts w:ascii="Calibri" w:hAnsi="Calibri" w:cs="Calibri"/>
          <w:sz w:val="24"/>
          <w:szCs w:val="24"/>
        </w:rPr>
        <w:t xml:space="preserve">, G., Rao, N. V., </w:t>
      </w:r>
      <w:proofErr w:type="spellStart"/>
      <w:r w:rsidRPr="00EB0F4E">
        <w:rPr>
          <w:rFonts w:ascii="Calibri" w:hAnsi="Calibri" w:cs="Calibri"/>
          <w:sz w:val="24"/>
          <w:szCs w:val="24"/>
        </w:rPr>
        <w:t>Matlani</w:t>
      </w:r>
      <w:proofErr w:type="spellEnd"/>
      <w:r w:rsidRPr="00EB0F4E">
        <w:rPr>
          <w:rFonts w:ascii="Calibri" w:hAnsi="Calibri" w:cs="Calibri"/>
          <w:sz w:val="24"/>
          <w:szCs w:val="24"/>
        </w:rPr>
        <w:t xml:space="preserve">, N., Scrimgeour, F., &amp; Patnaik, D. (2020). Gender diversity and firm performance: evidence from India and Singapore. </w:t>
      </w:r>
      <w:r w:rsidRPr="00EB0F4E">
        <w:rPr>
          <w:rFonts w:ascii="Calibri" w:hAnsi="Calibri" w:cs="Calibri"/>
          <w:i/>
          <w:iCs/>
          <w:sz w:val="24"/>
          <w:szCs w:val="24"/>
        </w:rPr>
        <w:t>Applied Economics</w:t>
      </w:r>
      <w:r w:rsidRPr="00EB0F4E">
        <w:rPr>
          <w:rFonts w:ascii="Calibri" w:hAnsi="Calibri" w:cs="Calibri"/>
          <w:sz w:val="24"/>
          <w:szCs w:val="24"/>
        </w:rPr>
        <w:t>, 52(14), 1553-1565. https://doi.org/10.1080/00036846.2019.1676872</w:t>
      </w:r>
    </w:p>
    <w:p w14:paraId="59EB3200" w14:textId="77777777" w:rsidR="0069729B" w:rsidRPr="00EB0F4E" w:rsidRDefault="0069729B" w:rsidP="0069729B">
      <w:pPr>
        <w:spacing w:after="0" w:line="240" w:lineRule="auto"/>
        <w:ind w:left="567" w:hanging="567"/>
        <w:jc w:val="both"/>
        <w:rPr>
          <w:rFonts w:ascii="Calibri" w:hAnsi="Calibri" w:cs="Calibri"/>
          <w:sz w:val="24"/>
          <w:szCs w:val="24"/>
        </w:rPr>
      </w:pPr>
      <w:r w:rsidRPr="00EB0F4E">
        <w:rPr>
          <w:rFonts w:ascii="Calibri" w:hAnsi="Calibri" w:cs="Calibri"/>
          <w:sz w:val="24"/>
          <w:szCs w:val="24"/>
        </w:rPr>
        <w:lastRenderedPageBreak/>
        <w:t xml:space="preserve">Erin, O. A., </w:t>
      </w:r>
      <w:proofErr w:type="spellStart"/>
      <w:r w:rsidRPr="00EB0F4E">
        <w:rPr>
          <w:rFonts w:ascii="Calibri" w:hAnsi="Calibri" w:cs="Calibri"/>
          <w:sz w:val="24"/>
          <w:szCs w:val="24"/>
        </w:rPr>
        <w:t>Bamigboye</w:t>
      </w:r>
      <w:proofErr w:type="spellEnd"/>
      <w:r w:rsidRPr="00EB0F4E">
        <w:rPr>
          <w:rFonts w:ascii="Calibri" w:hAnsi="Calibri" w:cs="Calibri"/>
          <w:sz w:val="24"/>
          <w:szCs w:val="24"/>
        </w:rPr>
        <w:t xml:space="preserve">, O. A., &amp; </w:t>
      </w:r>
      <w:proofErr w:type="spellStart"/>
      <w:r w:rsidRPr="00EB0F4E">
        <w:rPr>
          <w:rFonts w:ascii="Calibri" w:hAnsi="Calibri" w:cs="Calibri"/>
          <w:sz w:val="24"/>
          <w:szCs w:val="24"/>
        </w:rPr>
        <w:t>Oyewo</w:t>
      </w:r>
      <w:proofErr w:type="spellEnd"/>
      <w:r w:rsidRPr="00EB0F4E">
        <w:rPr>
          <w:rFonts w:ascii="Calibri" w:hAnsi="Calibri" w:cs="Calibri"/>
          <w:sz w:val="24"/>
          <w:szCs w:val="24"/>
        </w:rPr>
        <w:t xml:space="preserve">, B. (2022). Sustainable development goals (SDG) reporting: an analysis of disclosure. </w:t>
      </w:r>
      <w:r w:rsidRPr="00EB0F4E">
        <w:rPr>
          <w:rFonts w:ascii="Calibri" w:hAnsi="Calibri" w:cs="Calibri"/>
          <w:i/>
          <w:iCs/>
          <w:sz w:val="24"/>
          <w:szCs w:val="24"/>
        </w:rPr>
        <w:t>Journal of Accounting in Emerging Economies</w:t>
      </w:r>
      <w:r w:rsidRPr="00EB0F4E">
        <w:rPr>
          <w:rFonts w:ascii="Calibri" w:hAnsi="Calibri" w:cs="Calibri"/>
          <w:sz w:val="24"/>
          <w:szCs w:val="24"/>
        </w:rPr>
        <w:t xml:space="preserve">, </w:t>
      </w:r>
      <w:r w:rsidRPr="00EB0F4E">
        <w:rPr>
          <w:rFonts w:ascii="Calibri" w:hAnsi="Calibri" w:cs="Calibri"/>
          <w:i/>
          <w:iCs/>
          <w:sz w:val="24"/>
          <w:szCs w:val="24"/>
        </w:rPr>
        <w:t>12</w:t>
      </w:r>
      <w:r w:rsidRPr="00EB0F4E">
        <w:rPr>
          <w:rFonts w:ascii="Calibri" w:hAnsi="Calibri" w:cs="Calibri"/>
          <w:sz w:val="24"/>
          <w:szCs w:val="24"/>
        </w:rPr>
        <w:t>(5), 761–789. https://doi.org/10.1108/JAEE-02-2020-0037</w:t>
      </w:r>
    </w:p>
    <w:p w14:paraId="2EEA22F0" w14:textId="77777777" w:rsidR="0069729B" w:rsidRPr="00EB0F4E" w:rsidRDefault="0069729B" w:rsidP="0069729B">
      <w:pPr>
        <w:spacing w:after="0" w:line="240" w:lineRule="auto"/>
        <w:ind w:left="567" w:hanging="567"/>
        <w:jc w:val="both"/>
        <w:rPr>
          <w:rFonts w:ascii="Calibri" w:hAnsi="Calibri" w:cs="Calibri"/>
          <w:sz w:val="24"/>
          <w:szCs w:val="24"/>
        </w:rPr>
      </w:pPr>
      <w:proofErr w:type="spellStart"/>
      <w:r w:rsidRPr="00EB0F4E">
        <w:rPr>
          <w:rFonts w:ascii="Calibri" w:hAnsi="Calibri" w:cs="Calibri"/>
          <w:sz w:val="24"/>
          <w:szCs w:val="24"/>
        </w:rPr>
        <w:t>Farisyi</w:t>
      </w:r>
      <w:proofErr w:type="spellEnd"/>
      <w:r w:rsidRPr="00EB0F4E">
        <w:rPr>
          <w:rFonts w:ascii="Calibri" w:hAnsi="Calibri" w:cs="Calibri"/>
          <w:sz w:val="24"/>
          <w:szCs w:val="24"/>
        </w:rPr>
        <w:t xml:space="preserve">, S., </w:t>
      </w:r>
      <w:proofErr w:type="spellStart"/>
      <w:r w:rsidRPr="00EB0F4E">
        <w:rPr>
          <w:rFonts w:ascii="Calibri" w:hAnsi="Calibri" w:cs="Calibri"/>
          <w:sz w:val="24"/>
          <w:szCs w:val="24"/>
        </w:rPr>
        <w:t>Musadieq</w:t>
      </w:r>
      <w:proofErr w:type="spellEnd"/>
      <w:r w:rsidRPr="00EB0F4E">
        <w:rPr>
          <w:rFonts w:ascii="Calibri" w:hAnsi="Calibri" w:cs="Calibri"/>
          <w:sz w:val="24"/>
          <w:szCs w:val="24"/>
        </w:rPr>
        <w:t xml:space="preserve">, M. Al, </w:t>
      </w:r>
      <w:proofErr w:type="spellStart"/>
      <w:r w:rsidRPr="00EB0F4E">
        <w:rPr>
          <w:rFonts w:ascii="Calibri" w:hAnsi="Calibri" w:cs="Calibri"/>
          <w:sz w:val="24"/>
          <w:szCs w:val="24"/>
        </w:rPr>
        <w:t>Utami</w:t>
      </w:r>
      <w:proofErr w:type="spellEnd"/>
      <w:r w:rsidRPr="00EB0F4E">
        <w:rPr>
          <w:rFonts w:ascii="Calibri" w:hAnsi="Calibri" w:cs="Calibri"/>
          <w:sz w:val="24"/>
          <w:szCs w:val="24"/>
        </w:rPr>
        <w:t xml:space="preserve">, H. N., &amp; Damayanti, C. R. (2022). A Systematic Literature Review: Determinants of Sustainability Reporting in Developing Countries. </w:t>
      </w:r>
      <w:r w:rsidRPr="00EB0F4E">
        <w:rPr>
          <w:rFonts w:ascii="Calibri" w:hAnsi="Calibri" w:cs="Calibri"/>
          <w:i/>
          <w:iCs/>
          <w:sz w:val="24"/>
          <w:szCs w:val="24"/>
        </w:rPr>
        <w:t>Sustainability (Switzerland)</w:t>
      </w:r>
      <w:r w:rsidRPr="00EB0F4E">
        <w:rPr>
          <w:rFonts w:ascii="Calibri" w:hAnsi="Calibri" w:cs="Calibri"/>
          <w:sz w:val="24"/>
          <w:szCs w:val="24"/>
        </w:rPr>
        <w:t xml:space="preserve">, </w:t>
      </w:r>
      <w:r w:rsidRPr="00EB0F4E">
        <w:rPr>
          <w:rFonts w:ascii="Calibri" w:hAnsi="Calibri" w:cs="Calibri"/>
          <w:i/>
          <w:iCs/>
          <w:sz w:val="24"/>
          <w:szCs w:val="24"/>
        </w:rPr>
        <w:t>14</w:t>
      </w:r>
      <w:r w:rsidRPr="00EB0F4E">
        <w:rPr>
          <w:rFonts w:ascii="Calibri" w:hAnsi="Calibri" w:cs="Calibri"/>
          <w:sz w:val="24"/>
          <w:szCs w:val="24"/>
        </w:rPr>
        <w:t>(16), 1–18. https://doi.org/10.3390/su141610222</w:t>
      </w:r>
    </w:p>
    <w:p w14:paraId="674B0B1B" w14:textId="77777777" w:rsidR="0069729B" w:rsidRPr="00EB0F4E" w:rsidRDefault="0069729B" w:rsidP="0069729B">
      <w:pPr>
        <w:spacing w:after="0" w:line="240" w:lineRule="auto"/>
        <w:ind w:left="567" w:hanging="567"/>
        <w:jc w:val="both"/>
        <w:rPr>
          <w:rFonts w:ascii="Calibri" w:hAnsi="Calibri" w:cs="Calibri"/>
          <w:sz w:val="24"/>
          <w:szCs w:val="24"/>
        </w:rPr>
      </w:pPr>
      <w:r w:rsidRPr="00EB0F4E">
        <w:rPr>
          <w:rFonts w:ascii="Calibri" w:hAnsi="Calibri" w:cs="Calibri"/>
          <w:sz w:val="24"/>
          <w:szCs w:val="24"/>
        </w:rPr>
        <w:t xml:space="preserve">Fernandez, W. D., Burnett, M. F., &amp; Gomez, C. B. (2019). Women in the boardroom and corporate social performance: negotiating the double bind. </w:t>
      </w:r>
      <w:r w:rsidRPr="00EB0F4E">
        <w:rPr>
          <w:rFonts w:ascii="Calibri" w:hAnsi="Calibri" w:cs="Calibri"/>
          <w:i/>
          <w:iCs/>
          <w:sz w:val="24"/>
          <w:szCs w:val="24"/>
        </w:rPr>
        <w:t>Management Decision</w:t>
      </w:r>
      <w:r w:rsidRPr="00EB0F4E">
        <w:rPr>
          <w:rFonts w:ascii="Calibri" w:hAnsi="Calibri" w:cs="Calibri"/>
          <w:sz w:val="24"/>
          <w:szCs w:val="24"/>
        </w:rPr>
        <w:t>, 57(9), 2201-2222. https://doi.org/10.1108/MD-08-2017-0738</w:t>
      </w:r>
    </w:p>
    <w:p w14:paraId="44F5F44F" w14:textId="7604B548" w:rsidR="0069729B" w:rsidRPr="00EB0F4E" w:rsidRDefault="0069729B" w:rsidP="0069729B">
      <w:pPr>
        <w:spacing w:after="0" w:line="240" w:lineRule="auto"/>
        <w:ind w:left="567" w:hanging="567"/>
        <w:jc w:val="both"/>
        <w:rPr>
          <w:rFonts w:ascii="Calibri" w:hAnsi="Calibri" w:cs="Calibri"/>
          <w:sz w:val="24"/>
          <w:szCs w:val="24"/>
        </w:rPr>
      </w:pPr>
      <w:proofErr w:type="spellStart"/>
      <w:r w:rsidRPr="00EB0F4E">
        <w:rPr>
          <w:rFonts w:ascii="Calibri" w:hAnsi="Calibri" w:cs="Calibri"/>
          <w:sz w:val="24"/>
          <w:szCs w:val="24"/>
        </w:rPr>
        <w:t>Godos</w:t>
      </w:r>
      <w:proofErr w:type="spellEnd"/>
      <w:r w:rsidRPr="00EB0F4E">
        <w:rPr>
          <w:rFonts w:ascii="Calibri" w:hAnsi="Calibri" w:cs="Calibri"/>
          <w:sz w:val="24"/>
          <w:szCs w:val="24"/>
        </w:rPr>
        <w:t>-D</w:t>
      </w:r>
      <w:r>
        <w:rPr>
          <w:rFonts w:ascii="Calibri" w:hAnsi="Calibri" w:cs="Calibri"/>
          <w:sz w:val="24"/>
          <w:szCs w:val="24"/>
        </w:rPr>
        <w:t>i</w:t>
      </w:r>
      <w:r w:rsidRPr="00EB0F4E">
        <w:rPr>
          <w:rFonts w:ascii="Calibri" w:hAnsi="Calibri" w:cs="Calibri"/>
          <w:sz w:val="24"/>
          <w:szCs w:val="24"/>
        </w:rPr>
        <w:t>ez, J. L., Fern</w:t>
      </w:r>
      <w:r>
        <w:rPr>
          <w:rFonts w:ascii="Calibri" w:hAnsi="Calibri" w:cs="Calibri"/>
          <w:sz w:val="24"/>
          <w:szCs w:val="24"/>
        </w:rPr>
        <w:t>a</w:t>
      </w:r>
      <w:r w:rsidRPr="00EB0F4E">
        <w:rPr>
          <w:rFonts w:ascii="Calibri" w:hAnsi="Calibri" w:cs="Calibri"/>
          <w:sz w:val="24"/>
          <w:szCs w:val="24"/>
        </w:rPr>
        <w:t>ndez-Gago, R., &amp; Mart</w:t>
      </w:r>
      <w:r>
        <w:rPr>
          <w:rFonts w:ascii="Calibri" w:hAnsi="Calibri" w:cs="Calibri"/>
          <w:sz w:val="24"/>
          <w:szCs w:val="24"/>
        </w:rPr>
        <w:t>i</w:t>
      </w:r>
      <w:r w:rsidRPr="00EB0F4E">
        <w:rPr>
          <w:rFonts w:ascii="Calibri" w:hAnsi="Calibri" w:cs="Calibri"/>
          <w:sz w:val="24"/>
          <w:szCs w:val="24"/>
        </w:rPr>
        <w:t>nez-</w:t>
      </w:r>
      <w:proofErr w:type="spellStart"/>
      <w:r w:rsidRPr="00EB0F4E">
        <w:rPr>
          <w:rFonts w:ascii="Calibri" w:hAnsi="Calibri" w:cs="Calibri"/>
          <w:sz w:val="24"/>
          <w:szCs w:val="24"/>
        </w:rPr>
        <w:t>Campillo</w:t>
      </w:r>
      <w:proofErr w:type="spellEnd"/>
      <w:r w:rsidRPr="00EB0F4E">
        <w:rPr>
          <w:rFonts w:ascii="Calibri" w:hAnsi="Calibri" w:cs="Calibri"/>
          <w:sz w:val="24"/>
          <w:szCs w:val="24"/>
        </w:rPr>
        <w:t xml:space="preserve">, A. (2011). How important are CEOs to CSR practices? An analysis of the mediating effect of the perceived role of ethics and social responsibility. </w:t>
      </w:r>
      <w:r w:rsidRPr="00EB0F4E">
        <w:rPr>
          <w:rFonts w:ascii="Calibri" w:hAnsi="Calibri" w:cs="Calibri"/>
          <w:i/>
          <w:iCs/>
          <w:sz w:val="24"/>
          <w:szCs w:val="24"/>
        </w:rPr>
        <w:t>Journal of Business Ethics</w:t>
      </w:r>
      <w:r w:rsidRPr="00EB0F4E">
        <w:rPr>
          <w:rFonts w:ascii="Calibri" w:hAnsi="Calibri" w:cs="Calibri"/>
          <w:sz w:val="24"/>
          <w:szCs w:val="24"/>
        </w:rPr>
        <w:t xml:space="preserve">, 98, 531-548. </w:t>
      </w:r>
    </w:p>
    <w:p w14:paraId="2AAA4AF3" w14:textId="77777777" w:rsidR="0069729B" w:rsidRPr="00EB0F4E" w:rsidRDefault="0069729B" w:rsidP="0069729B">
      <w:pPr>
        <w:spacing w:after="0" w:line="240" w:lineRule="auto"/>
        <w:ind w:left="567" w:hanging="567"/>
        <w:jc w:val="both"/>
        <w:rPr>
          <w:rFonts w:ascii="Calibri" w:hAnsi="Calibri" w:cs="Calibri"/>
          <w:sz w:val="24"/>
          <w:szCs w:val="24"/>
        </w:rPr>
      </w:pPr>
      <w:proofErr w:type="spellStart"/>
      <w:r w:rsidRPr="00EB0F4E">
        <w:rPr>
          <w:rFonts w:ascii="Calibri" w:hAnsi="Calibri" w:cs="Calibri"/>
          <w:sz w:val="24"/>
          <w:szCs w:val="24"/>
        </w:rPr>
        <w:t>Gunawan</w:t>
      </w:r>
      <w:proofErr w:type="spellEnd"/>
      <w:r w:rsidRPr="00EB0F4E">
        <w:rPr>
          <w:rFonts w:ascii="Calibri" w:hAnsi="Calibri" w:cs="Calibri"/>
          <w:sz w:val="24"/>
          <w:szCs w:val="24"/>
        </w:rPr>
        <w:t xml:space="preserve">, J., </w:t>
      </w:r>
      <w:proofErr w:type="spellStart"/>
      <w:r w:rsidRPr="00EB0F4E">
        <w:rPr>
          <w:rFonts w:ascii="Calibri" w:hAnsi="Calibri" w:cs="Calibri"/>
          <w:sz w:val="24"/>
          <w:szCs w:val="24"/>
        </w:rPr>
        <w:t>Permatasari</w:t>
      </w:r>
      <w:proofErr w:type="spellEnd"/>
      <w:r w:rsidRPr="00EB0F4E">
        <w:rPr>
          <w:rFonts w:ascii="Calibri" w:hAnsi="Calibri" w:cs="Calibri"/>
          <w:sz w:val="24"/>
          <w:szCs w:val="24"/>
        </w:rPr>
        <w:t xml:space="preserve">, P., &amp; </w:t>
      </w:r>
      <w:proofErr w:type="spellStart"/>
      <w:r w:rsidRPr="00EB0F4E">
        <w:rPr>
          <w:rFonts w:ascii="Calibri" w:hAnsi="Calibri" w:cs="Calibri"/>
          <w:sz w:val="24"/>
          <w:szCs w:val="24"/>
        </w:rPr>
        <w:t>Fauzi</w:t>
      </w:r>
      <w:proofErr w:type="spellEnd"/>
      <w:r w:rsidRPr="00EB0F4E">
        <w:rPr>
          <w:rFonts w:ascii="Calibri" w:hAnsi="Calibri" w:cs="Calibri"/>
          <w:sz w:val="24"/>
          <w:szCs w:val="24"/>
        </w:rPr>
        <w:t xml:space="preserve">, H. (2022). The evolution of sustainability reporting practices in Indonesia. </w:t>
      </w:r>
      <w:r w:rsidRPr="00EB0F4E">
        <w:rPr>
          <w:rFonts w:ascii="Calibri" w:hAnsi="Calibri" w:cs="Calibri"/>
          <w:i/>
          <w:iCs/>
          <w:sz w:val="24"/>
          <w:szCs w:val="24"/>
        </w:rPr>
        <w:t>Journal of Cleaner Production</w:t>
      </w:r>
      <w:r w:rsidRPr="00EB0F4E">
        <w:rPr>
          <w:rFonts w:ascii="Calibri" w:hAnsi="Calibri" w:cs="Calibri"/>
          <w:sz w:val="24"/>
          <w:szCs w:val="24"/>
        </w:rPr>
        <w:t>, 358, 131798. https://doi.org/10.1016/j.jclepro.2022.131798</w:t>
      </w:r>
    </w:p>
    <w:p w14:paraId="620A145B" w14:textId="77777777" w:rsidR="0069729B" w:rsidRPr="00EB0F4E" w:rsidRDefault="0069729B" w:rsidP="0069729B">
      <w:pPr>
        <w:spacing w:after="0" w:line="240" w:lineRule="auto"/>
        <w:ind w:left="567" w:hanging="567"/>
        <w:jc w:val="both"/>
        <w:rPr>
          <w:rFonts w:ascii="Calibri" w:hAnsi="Calibri" w:cs="Calibri"/>
          <w:sz w:val="24"/>
          <w:szCs w:val="24"/>
        </w:rPr>
      </w:pPr>
      <w:r w:rsidRPr="00EB0F4E">
        <w:rPr>
          <w:rFonts w:ascii="Calibri" w:hAnsi="Calibri" w:cs="Calibri"/>
          <w:sz w:val="24"/>
          <w:szCs w:val="24"/>
        </w:rPr>
        <w:t>Huang, S. K. (2013). The impact of CEO characteristics on corporate sustainable development. Corporate Social Responsibility and Environmental Management, 20(4), 234-244. https://doi.org/10.1002/csr.1295</w:t>
      </w:r>
    </w:p>
    <w:p w14:paraId="37BBDD39" w14:textId="0D0A53A7" w:rsidR="0069729B" w:rsidRPr="00EB0F4E" w:rsidRDefault="0069729B" w:rsidP="0069729B">
      <w:pPr>
        <w:spacing w:after="0" w:line="240" w:lineRule="auto"/>
        <w:ind w:left="567" w:hanging="567"/>
        <w:jc w:val="both"/>
        <w:rPr>
          <w:rFonts w:ascii="Calibri" w:hAnsi="Calibri" w:cs="Calibri"/>
          <w:sz w:val="24"/>
          <w:szCs w:val="24"/>
        </w:rPr>
      </w:pPr>
      <w:r w:rsidRPr="00EB0F4E">
        <w:rPr>
          <w:rFonts w:ascii="Calibri" w:hAnsi="Calibri" w:cs="Calibri"/>
          <w:sz w:val="24"/>
          <w:szCs w:val="24"/>
        </w:rPr>
        <w:t>Indonesian Financial Service Authority</w:t>
      </w:r>
      <w:r>
        <w:rPr>
          <w:rFonts w:ascii="Calibri" w:hAnsi="Calibri" w:cs="Calibri"/>
          <w:sz w:val="24"/>
          <w:szCs w:val="24"/>
        </w:rPr>
        <w:t>.</w:t>
      </w:r>
      <w:r w:rsidRPr="00EB0F4E">
        <w:rPr>
          <w:rFonts w:ascii="Calibri" w:hAnsi="Calibri" w:cs="Calibri"/>
          <w:sz w:val="24"/>
          <w:szCs w:val="24"/>
        </w:rPr>
        <w:t xml:space="preserve"> (2017). </w:t>
      </w:r>
      <w:proofErr w:type="spellStart"/>
      <w:r w:rsidRPr="00EB0F4E">
        <w:rPr>
          <w:rFonts w:ascii="Calibri" w:hAnsi="Calibri" w:cs="Calibri"/>
          <w:i/>
          <w:iCs/>
          <w:sz w:val="24"/>
          <w:szCs w:val="24"/>
        </w:rPr>
        <w:t>Infografis</w:t>
      </w:r>
      <w:proofErr w:type="spellEnd"/>
      <w:r w:rsidRPr="00EB0F4E">
        <w:rPr>
          <w:rFonts w:ascii="Calibri" w:hAnsi="Calibri" w:cs="Calibri"/>
          <w:i/>
          <w:iCs/>
          <w:sz w:val="24"/>
          <w:szCs w:val="24"/>
        </w:rPr>
        <w:t xml:space="preserve"> Lembaga </w:t>
      </w:r>
      <w:proofErr w:type="spellStart"/>
      <w:r w:rsidRPr="00EB0F4E">
        <w:rPr>
          <w:rFonts w:ascii="Calibri" w:hAnsi="Calibri" w:cs="Calibri"/>
          <w:i/>
          <w:iCs/>
          <w:sz w:val="24"/>
          <w:szCs w:val="24"/>
        </w:rPr>
        <w:t>Jasa</w:t>
      </w:r>
      <w:proofErr w:type="spellEnd"/>
      <w:r w:rsidRPr="00EB0F4E">
        <w:rPr>
          <w:rFonts w:ascii="Calibri" w:hAnsi="Calibri" w:cs="Calibri"/>
          <w:i/>
          <w:iCs/>
          <w:sz w:val="24"/>
          <w:szCs w:val="24"/>
        </w:rPr>
        <w:t xml:space="preserve"> </w:t>
      </w:r>
      <w:proofErr w:type="spellStart"/>
      <w:r w:rsidRPr="00EB0F4E">
        <w:rPr>
          <w:rFonts w:ascii="Calibri" w:hAnsi="Calibri" w:cs="Calibri"/>
          <w:i/>
          <w:iCs/>
          <w:sz w:val="24"/>
          <w:szCs w:val="24"/>
        </w:rPr>
        <w:t>Keuangan</w:t>
      </w:r>
      <w:proofErr w:type="spellEnd"/>
      <w:r w:rsidRPr="00EB0F4E">
        <w:rPr>
          <w:rFonts w:ascii="Calibri" w:hAnsi="Calibri" w:cs="Calibri"/>
          <w:i/>
          <w:iCs/>
          <w:sz w:val="24"/>
          <w:szCs w:val="24"/>
        </w:rPr>
        <w:t xml:space="preserve"> dan </w:t>
      </w:r>
      <w:proofErr w:type="spellStart"/>
      <w:r w:rsidRPr="00EB0F4E">
        <w:rPr>
          <w:rFonts w:ascii="Calibri" w:hAnsi="Calibri" w:cs="Calibri"/>
          <w:i/>
          <w:iCs/>
          <w:sz w:val="24"/>
          <w:szCs w:val="24"/>
        </w:rPr>
        <w:t>Emiten</w:t>
      </w:r>
      <w:proofErr w:type="spellEnd"/>
      <w:r w:rsidRPr="00EB0F4E">
        <w:rPr>
          <w:rFonts w:ascii="Calibri" w:hAnsi="Calibri" w:cs="Calibri"/>
          <w:i/>
          <w:iCs/>
          <w:sz w:val="24"/>
          <w:szCs w:val="24"/>
        </w:rPr>
        <w:t xml:space="preserve"> </w:t>
      </w:r>
      <w:proofErr w:type="spellStart"/>
      <w:r w:rsidRPr="00EB0F4E">
        <w:rPr>
          <w:rFonts w:ascii="Calibri" w:hAnsi="Calibri" w:cs="Calibri"/>
          <w:i/>
          <w:iCs/>
          <w:sz w:val="24"/>
          <w:szCs w:val="24"/>
        </w:rPr>
        <w:t>Penerbit</w:t>
      </w:r>
      <w:proofErr w:type="spellEnd"/>
      <w:r w:rsidRPr="00EB0F4E">
        <w:rPr>
          <w:rFonts w:ascii="Calibri" w:hAnsi="Calibri" w:cs="Calibri"/>
          <w:i/>
          <w:iCs/>
          <w:sz w:val="24"/>
          <w:szCs w:val="24"/>
        </w:rPr>
        <w:t xml:space="preserve"> Sustainability Report</w:t>
      </w:r>
      <w:r w:rsidRPr="00EB0F4E">
        <w:rPr>
          <w:rFonts w:ascii="Calibri" w:hAnsi="Calibri" w:cs="Calibri"/>
          <w:sz w:val="24"/>
          <w:szCs w:val="24"/>
        </w:rPr>
        <w:t>. Jakarta: Indonesian Financial Service Authority. https://www.ojk.go.id/sustainable-finance/id/publikasi/riset-dan-statistik/Pages/Sustainability-Report-bagi-Lembaga-Jasa-Keuangan-dan-Emiten.aspx</w:t>
      </w:r>
    </w:p>
    <w:p w14:paraId="3D229858" w14:textId="77777777" w:rsidR="0069729B" w:rsidRPr="00EB0F4E" w:rsidRDefault="0069729B" w:rsidP="0069729B">
      <w:pPr>
        <w:spacing w:after="0" w:line="240" w:lineRule="auto"/>
        <w:ind w:left="567" w:hanging="567"/>
        <w:jc w:val="both"/>
        <w:rPr>
          <w:rFonts w:ascii="Calibri" w:hAnsi="Calibri" w:cs="Calibri"/>
          <w:sz w:val="24"/>
          <w:szCs w:val="24"/>
        </w:rPr>
      </w:pPr>
      <w:proofErr w:type="spellStart"/>
      <w:r w:rsidRPr="00EB0F4E">
        <w:rPr>
          <w:rFonts w:ascii="Calibri" w:hAnsi="Calibri" w:cs="Calibri"/>
          <w:sz w:val="24"/>
          <w:szCs w:val="24"/>
        </w:rPr>
        <w:t>Ioannou</w:t>
      </w:r>
      <w:proofErr w:type="spellEnd"/>
      <w:r w:rsidRPr="00EB0F4E">
        <w:rPr>
          <w:rFonts w:ascii="Calibri" w:hAnsi="Calibri" w:cs="Calibri"/>
          <w:sz w:val="24"/>
          <w:szCs w:val="24"/>
        </w:rPr>
        <w:t xml:space="preserve">, I., &amp; </w:t>
      </w:r>
      <w:proofErr w:type="spellStart"/>
      <w:r w:rsidRPr="00EB0F4E">
        <w:rPr>
          <w:rFonts w:ascii="Calibri" w:hAnsi="Calibri" w:cs="Calibri"/>
          <w:sz w:val="24"/>
          <w:szCs w:val="24"/>
        </w:rPr>
        <w:t>Serafeim</w:t>
      </w:r>
      <w:proofErr w:type="spellEnd"/>
      <w:r w:rsidRPr="00EB0F4E">
        <w:rPr>
          <w:rFonts w:ascii="Calibri" w:hAnsi="Calibri" w:cs="Calibri"/>
          <w:sz w:val="24"/>
          <w:szCs w:val="24"/>
        </w:rPr>
        <w:t xml:space="preserve">, G. (2017). The Consequences of Mandatory Corporate Sustainability Reporting </w:t>
      </w:r>
      <w:proofErr w:type="gramStart"/>
      <w:r w:rsidRPr="00EB0F4E">
        <w:rPr>
          <w:rFonts w:ascii="Calibri" w:hAnsi="Calibri" w:cs="Calibri"/>
          <w:sz w:val="24"/>
          <w:szCs w:val="24"/>
        </w:rPr>
        <w:t>The</w:t>
      </w:r>
      <w:proofErr w:type="gramEnd"/>
      <w:r w:rsidRPr="00EB0F4E">
        <w:rPr>
          <w:rFonts w:ascii="Calibri" w:hAnsi="Calibri" w:cs="Calibri"/>
          <w:sz w:val="24"/>
          <w:szCs w:val="24"/>
        </w:rPr>
        <w:t xml:space="preserve"> Consequences of Mandatory Corporate Sustainability Reporting. In </w:t>
      </w:r>
      <w:r w:rsidRPr="00EB0F4E">
        <w:rPr>
          <w:rFonts w:ascii="Calibri" w:hAnsi="Calibri" w:cs="Calibri"/>
          <w:i/>
          <w:iCs/>
          <w:sz w:val="24"/>
          <w:szCs w:val="24"/>
        </w:rPr>
        <w:t>Harvard Business School Research Working Paper</w:t>
      </w:r>
      <w:r w:rsidRPr="00EB0F4E">
        <w:rPr>
          <w:rFonts w:ascii="Calibri" w:hAnsi="Calibri" w:cs="Calibri"/>
          <w:sz w:val="24"/>
          <w:szCs w:val="24"/>
        </w:rPr>
        <w:t xml:space="preserve"> (Vol. 11–100).</w:t>
      </w:r>
    </w:p>
    <w:p w14:paraId="733B2A21" w14:textId="77777777" w:rsidR="0069729B" w:rsidRPr="00EB0F4E" w:rsidRDefault="0069729B" w:rsidP="0069729B">
      <w:pPr>
        <w:spacing w:after="0" w:line="240" w:lineRule="auto"/>
        <w:ind w:left="567" w:hanging="567"/>
        <w:jc w:val="both"/>
        <w:rPr>
          <w:rFonts w:ascii="Calibri" w:hAnsi="Calibri" w:cs="Calibri"/>
          <w:sz w:val="24"/>
          <w:szCs w:val="24"/>
        </w:rPr>
      </w:pPr>
      <w:r w:rsidRPr="00EB0F4E">
        <w:rPr>
          <w:rFonts w:ascii="Calibri" w:hAnsi="Calibri" w:cs="Calibri"/>
          <w:sz w:val="24"/>
          <w:szCs w:val="24"/>
        </w:rPr>
        <w:t xml:space="preserve">Issa, A., &amp; Fang, H. X. (2019). The impact of board gender diversity on corporate social responsibility in the Arab Gulf states. </w:t>
      </w:r>
      <w:r w:rsidRPr="00EB0F4E">
        <w:rPr>
          <w:rFonts w:ascii="Calibri" w:hAnsi="Calibri" w:cs="Calibri"/>
          <w:i/>
          <w:iCs/>
          <w:sz w:val="24"/>
          <w:szCs w:val="24"/>
        </w:rPr>
        <w:t>Gender in Management: An International Journal</w:t>
      </w:r>
      <w:r w:rsidRPr="00EB0F4E">
        <w:rPr>
          <w:rFonts w:ascii="Calibri" w:hAnsi="Calibri" w:cs="Calibri"/>
          <w:sz w:val="24"/>
          <w:szCs w:val="24"/>
        </w:rPr>
        <w:t>, 34(7), 577-605. https://doi.org/10.1108/GM-07-2018-0087</w:t>
      </w:r>
    </w:p>
    <w:p w14:paraId="3FCC1CBD" w14:textId="77777777" w:rsidR="0069729B" w:rsidRPr="00EB0F4E" w:rsidRDefault="0069729B" w:rsidP="0069729B">
      <w:pPr>
        <w:spacing w:after="0" w:line="240" w:lineRule="auto"/>
        <w:ind w:left="567" w:hanging="567"/>
        <w:jc w:val="both"/>
        <w:rPr>
          <w:rFonts w:ascii="Calibri" w:hAnsi="Calibri" w:cs="Calibri"/>
          <w:sz w:val="24"/>
          <w:szCs w:val="24"/>
        </w:rPr>
      </w:pPr>
      <w:r w:rsidRPr="00EB0F4E">
        <w:rPr>
          <w:rFonts w:ascii="Calibri" w:hAnsi="Calibri" w:cs="Calibri"/>
          <w:sz w:val="24"/>
          <w:szCs w:val="24"/>
        </w:rPr>
        <w:t xml:space="preserve">Jensen, M.C. (1986). Agency costs of free cash flow, corporate finance, and takeovers. </w:t>
      </w:r>
      <w:r w:rsidRPr="00EB0F4E">
        <w:rPr>
          <w:rFonts w:ascii="Calibri" w:hAnsi="Calibri" w:cs="Calibri"/>
          <w:i/>
          <w:iCs/>
          <w:sz w:val="24"/>
          <w:szCs w:val="24"/>
        </w:rPr>
        <w:t>The American Economic Review</w:t>
      </w:r>
      <w:r w:rsidRPr="00EB0F4E">
        <w:rPr>
          <w:rFonts w:ascii="Calibri" w:hAnsi="Calibri" w:cs="Calibri"/>
          <w:sz w:val="24"/>
          <w:szCs w:val="24"/>
        </w:rPr>
        <w:t xml:space="preserve">, 76(2), 323-329. </w:t>
      </w:r>
    </w:p>
    <w:p w14:paraId="1477561B" w14:textId="77777777" w:rsidR="0069729B" w:rsidRPr="00EB0F4E" w:rsidRDefault="0069729B" w:rsidP="0069729B">
      <w:pPr>
        <w:spacing w:after="0" w:line="240" w:lineRule="auto"/>
        <w:ind w:left="567" w:hanging="567"/>
        <w:jc w:val="both"/>
        <w:rPr>
          <w:rFonts w:ascii="Calibri" w:hAnsi="Calibri" w:cs="Calibri"/>
          <w:sz w:val="24"/>
          <w:szCs w:val="24"/>
        </w:rPr>
      </w:pPr>
      <w:r w:rsidRPr="00EB0F4E">
        <w:rPr>
          <w:rFonts w:ascii="Calibri" w:hAnsi="Calibri" w:cs="Calibri"/>
          <w:sz w:val="24"/>
          <w:szCs w:val="24"/>
        </w:rPr>
        <w:t xml:space="preserve">Kang, Y. S., Huh, E., &amp; Lim, M. H. (2019). Effects of foreign directors’ nationalities and director types on corporate philanthropic behavior: Evidence from Korean firms. </w:t>
      </w:r>
      <w:r w:rsidRPr="00EB0F4E">
        <w:rPr>
          <w:rFonts w:ascii="Calibri" w:hAnsi="Calibri" w:cs="Calibri"/>
          <w:i/>
          <w:iCs/>
          <w:sz w:val="24"/>
          <w:szCs w:val="24"/>
        </w:rPr>
        <w:t>Sustainability</w:t>
      </w:r>
      <w:r w:rsidRPr="00EB0F4E">
        <w:rPr>
          <w:rFonts w:ascii="Calibri" w:hAnsi="Calibri" w:cs="Calibri"/>
          <w:sz w:val="24"/>
          <w:szCs w:val="24"/>
        </w:rPr>
        <w:t>, 11(11), 3132. https://doi.org/10.3390/su11113132</w:t>
      </w:r>
    </w:p>
    <w:p w14:paraId="412EFC4F" w14:textId="77777777" w:rsidR="0069729B" w:rsidRPr="00EB0F4E" w:rsidRDefault="0069729B" w:rsidP="0069729B">
      <w:pPr>
        <w:spacing w:after="0" w:line="240" w:lineRule="auto"/>
        <w:ind w:left="567" w:hanging="567"/>
        <w:jc w:val="both"/>
        <w:rPr>
          <w:rFonts w:ascii="Calibri" w:hAnsi="Calibri" w:cs="Calibri"/>
          <w:sz w:val="24"/>
          <w:szCs w:val="24"/>
        </w:rPr>
      </w:pPr>
      <w:r w:rsidRPr="00EB0F4E">
        <w:rPr>
          <w:rFonts w:ascii="Calibri" w:hAnsi="Calibri" w:cs="Calibri"/>
          <w:sz w:val="24"/>
          <w:szCs w:val="24"/>
        </w:rPr>
        <w:t xml:space="preserve">Khan, A., </w:t>
      </w:r>
      <w:proofErr w:type="spellStart"/>
      <w:r w:rsidRPr="00EB0F4E">
        <w:rPr>
          <w:rFonts w:ascii="Calibri" w:hAnsi="Calibri" w:cs="Calibri"/>
          <w:sz w:val="24"/>
          <w:szCs w:val="24"/>
        </w:rPr>
        <w:t>Muttakin</w:t>
      </w:r>
      <w:proofErr w:type="spellEnd"/>
      <w:r w:rsidRPr="00EB0F4E">
        <w:rPr>
          <w:rFonts w:ascii="Calibri" w:hAnsi="Calibri" w:cs="Calibri"/>
          <w:sz w:val="24"/>
          <w:szCs w:val="24"/>
        </w:rPr>
        <w:t xml:space="preserve">, M. B., &amp; Siddiqui, J. (2013). Corporate Governance and Corporate Social Responsibility Disclosures: Evidence from an Emerging Economy. </w:t>
      </w:r>
      <w:r w:rsidRPr="00EB0F4E">
        <w:rPr>
          <w:rFonts w:ascii="Calibri" w:hAnsi="Calibri" w:cs="Calibri"/>
          <w:i/>
          <w:iCs/>
          <w:sz w:val="24"/>
          <w:szCs w:val="24"/>
        </w:rPr>
        <w:t>Journal of Business Ethics</w:t>
      </w:r>
      <w:r w:rsidRPr="00EB0F4E">
        <w:rPr>
          <w:rFonts w:ascii="Calibri" w:hAnsi="Calibri" w:cs="Calibri"/>
          <w:sz w:val="24"/>
          <w:szCs w:val="24"/>
        </w:rPr>
        <w:t>, 114(2), 207–223. https://doi.org/10.1007/s10551-012-1336-0</w:t>
      </w:r>
    </w:p>
    <w:p w14:paraId="208442FB" w14:textId="77777777" w:rsidR="0069729B" w:rsidRDefault="0069729B" w:rsidP="0069729B">
      <w:pPr>
        <w:spacing w:after="0" w:line="240" w:lineRule="auto"/>
        <w:ind w:left="567" w:hanging="567"/>
        <w:jc w:val="both"/>
        <w:rPr>
          <w:rFonts w:ascii="Calibri" w:hAnsi="Calibri" w:cs="Calibri"/>
          <w:sz w:val="24"/>
          <w:szCs w:val="24"/>
        </w:rPr>
      </w:pPr>
      <w:r w:rsidRPr="00EB0F4E">
        <w:rPr>
          <w:rFonts w:ascii="Calibri" w:hAnsi="Calibri" w:cs="Calibri"/>
          <w:sz w:val="24"/>
          <w:szCs w:val="24"/>
        </w:rPr>
        <w:t xml:space="preserve">Lindblad, J. T. (2015). Foreign direct investment in Indonesia: Fifty years of discourse. </w:t>
      </w:r>
      <w:r w:rsidRPr="00EB0F4E">
        <w:rPr>
          <w:rFonts w:ascii="Calibri" w:hAnsi="Calibri" w:cs="Calibri"/>
          <w:i/>
          <w:iCs/>
          <w:sz w:val="24"/>
          <w:szCs w:val="24"/>
        </w:rPr>
        <w:t>Bulletin of Indonesian Economic Studies</w:t>
      </w:r>
      <w:r w:rsidRPr="00EB0F4E">
        <w:rPr>
          <w:rFonts w:ascii="Calibri" w:hAnsi="Calibri" w:cs="Calibri"/>
          <w:sz w:val="24"/>
          <w:szCs w:val="24"/>
        </w:rPr>
        <w:t xml:space="preserve">, 51(2), 217-237. </w:t>
      </w:r>
    </w:p>
    <w:p w14:paraId="42924CDF" w14:textId="06525B46" w:rsidR="0069729B" w:rsidRPr="00EB0F4E" w:rsidRDefault="0069729B" w:rsidP="0069729B">
      <w:pPr>
        <w:spacing w:after="0" w:line="240" w:lineRule="auto"/>
        <w:ind w:left="567"/>
        <w:jc w:val="both"/>
        <w:rPr>
          <w:rFonts w:ascii="Calibri" w:hAnsi="Calibri" w:cs="Calibri"/>
          <w:sz w:val="24"/>
          <w:szCs w:val="24"/>
        </w:rPr>
      </w:pPr>
      <w:r w:rsidRPr="00EB0F4E">
        <w:rPr>
          <w:rFonts w:ascii="Calibri" w:hAnsi="Calibri" w:cs="Calibri"/>
          <w:sz w:val="24"/>
          <w:szCs w:val="24"/>
        </w:rPr>
        <w:t>https://doi.org/10.1080/00074918.2015.1061913</w:t>
      </w:r>
    </w:p>
    <w:p w14:paraId="019BEF9E" w14:textId="77777777" w:rsidR="0069729B" w:rsidRPr="00EB0F4E" w:rsidRDefault="0069729B" w:rsidP="0069729B">
      <w:pPr>
        <w:spacing w:after="0" w:line="240" w:lineRule="auto"/>
        <w:ind w:left="567" w:hanging="567"/>
        <w:jc w:val="both"/>
        <w:rPr>
          <w:rFonts w:ascii="Calibri" w:hAnsi="Calibri" w:cs="Calibri"/>
          <w:sz w:val="24"/>
          <w:szCs w:val="24"/>
        </w:rPr>
      </w:pPr>
      <w:proofErr w:type="spellStart"/>
      <w:r w:rsidRPr="00EB0F4E">
        <w:rPr>
          <w:rFonts w:ascii="Calibri" w:hAnsi="Calibri" w:cs="Calibri"/>
          <w:sz w:val="24"/>
          <w:szCs w:val="24"/>
        </w:rPr>
        <w:t>Maheresmi</w:t>
      </w:r>
      <w:proofErr w:type="spellEnd"/>
      <w:r w:rsidRPr="00EB0F4E">
        <w:rPr>
          <w:rFonts w:ascii="Calibri" w:hAnsi="Calibri" w:cs="Calibri"/>
          <w:sz w:val="24"/>
          <w:szCs w:val="24"/>
        </w:rPr>
        <w:t xml:space="preserve">, M., </w:t>
      </w:r>
      <w:proofErr w:type="spellStart"/>
      <w:r w:rsidRPr="00EB0F4E">
        <w:rPr>
          <w:rFonts w:ascii="Calibri" w:hAnsi="Calibri" w:cs="Calibri"/>
          <w:sz w:val="24"/>
          <w:szCs w:val="24"/>
        </w:rPr>
        <w:t>Probohudono</w:t>
      </w:r>
      <w:proofErr w:type="spellEnd"/>
      <w:r w:rsidRPr="00EB0F4E">
        <w:rPr>
          <w:rFonts w:ascii="Calibri" w:hAnsi="Calibri" w:cs="Calibri"/>
          <w:sz w:val="24"/>
          <w:szCs w:val="24"/>
        </w:rPr>
        <w:t xml:space="preserve">, A. N., Arifin, T., &amp; </w:t>
      </w:r>
      <w:proofErr w:type="spellStart"/>
      <w:r w:rsidRPr="00EB0F4E">
        <w:rPr>
          <w:rFonts w:ascii="Calibri" w:hAnsi="Calibri" w:cs="Calibri"/>
          <w:sz w:val="24"/>
          <w:szCs w:val="24"/>
        </w:rPr>
        <w:t>Widarjo</w:t>
      </w:r>
      <w:proofErr w:type="spellEnd"/>
      <w:r w:rsidRPr="00EB0F4E">
        <w:rPr>
          <w:rFonts w:ascii="Calibri" w:hAnsi="Calibri" w:cs="Calibri"/>
          <w:sz w:val="24"/>
          <w:szCs w:val="24"/>
        </w:rPr>
        <w:t xml:space="preserve">, W. (2023). Do Tax Avoidance and Firm Ownership Matter for Sustainable Finance Disclosure? Evidence </w:t>
      </w:r>
      <w:proofErr w:type="gramStart"/>
      <w:r w:rsidRPr="00EB0F4E">
        <w:rPr>
          <w:rFonts w:ascii="Calibri" w:hAnsi="Calibri" w:cs="Calibri"/>
          <w:sz w:val="24"/>
          <w:szCs w:val="24"/>
        </w:rPr>
        <w:t>From</w:t>
      </w:r>
      <w:proofErr w:type="gramEnd"/>
      <w:r w:rsidRPr="00EB0F4E">
        <w:rPr>
          <w:rFonts w:ascii="Calibri" w:hAnsi="Calibri" w:cs="Calibri"/>
          <w:sz w:val="24"/>
          <w:szCs w:val="24"/>
        </w:rPr>
        <w:t xml:space="preserve"> the Listed Banks in </w:t>
      </w:r>
      <w:proofErr w:type="spellStart"/>
      <w:r w:rsidRPr="00EB0F4E">
        <w:rPr>
          <w:rFonts w:ascii="Calibri" w:hAnsi="Calibri" w:cs="Calibri"/>
          <w:sz w:val="24"/>
          <w:szCs w:val="24"/>
        </w:rPr>
        <w:t>Asean</w:t>
      </w:r>
      <w:proofErr w:type="spellEnd"/>
      <w:r w:rsidRPr="00EB0F4E">
        <w:rPr>
          <w:rFonts w:ascii="Calibri" w:hAnsi="Calibri" w:cs="Calibri"/>
          <w:sz w:val="24"/>
          <w:szCs w:val="24"/>
        </w:rPr>
        <w:t xml:space="preserve"> Countries. </w:t>
      </w:r>
      <w:r w:rsidRPr="00EB0F4E">
        <w:rPr>
          <w:rFonts w:ascii="Calibri" w:hAnsi="Calibri" w:cs="Calibri"/>
          <w:i/>
          <w:iCs/>
          <w:sz w:val="24"/>
          <w:szCs w:val="24"/>
        </w:rPr>
        <w:t>International Journal of Professional Business Review</w:t>
      </w:r>
      <w:r w:rsidRPr="00EB0F4E">
        <w:rPr>
          <w:rFonts w:ascii="Calibri" w:hAnsi="Calibri" w:cs="Calibri"/>
          <w:sz w:val="24"/>
          <w:szCs w:val="24"/>
        </w:rPr>
        <w:t>, 8(4), e01559-e01559. https://doi.org/10.26668/businessreview/2023.v8i4.1559</w:t>
      </w:r>
    </w:p>
    <w:p w14:paraId="56442364" w14:textId="77777777" w:rsidR="0069729B" w:rsidRPr="00EB0F4E" w:rsidRDefault="0069729B" w:rsidP="0069729B">
      <w:pPr>
        <w:spacing w:after="0" w:line="240" w:lineRule="auto"/>
        <w:ind w:left="567" w:hanging="567"/>
        <w:jc w:val="both"/>
        <w:rPr>
          <w:rFonts w:ascii="Calibri" w:hAnsi="Calibri" w:cs="Calibri"/>
          <w:sz w:val="24"/>
          <w:szCs w:val="24"/>
        </w:rPr>
      </w:pPr>
      <w:r w:rsidRPr="00EB0F4E">
        <w:rPr>
          <w:rFonts w:ascii="Calibri" w:hAnsi="Calibri" w:cs="Calibri"/>
          <w:sz w:val="24"/>
          <w:szCs w:val="24"/>
        </w:rPr>
        <w:t xml:space="preserve">Manner, M. H. (2010). The impact of CEO characteristics on corporate social performance. </w:t>
      </w:r>
      <w:r w:rsidRPr="00EB0F4E">
        <w:rPr>
          <w:rFonts w:ascii="Calibri" w:hAnsi="Calibri" w:cs="Calibri"/>
          <w:i/>
          <w:iCs/>
          <w:sz w:val="24"/>
          <w:szCs w:val="24"/>
        </w:rPr>
        <w:t>Journal of Business Ethics</w:t>
      </w:r>
      <w:r w:rsidRPr="00EB0F4E">
        <w:rPr>
          <w:rFonts w:ascii="Calibri" w:hAnsi="Calibri" w:cs="Calibri"/>
          <w:sz w:val="24"/>
          <w:szCs w:val="24"/>
        </w:rPr>
        <w:t>, 93(1), 53-72. https://doi.org/10.1007/s10551-010-0626-7</w:t>
      </w:r>
    </w:p>
    <w:p w14:paraId="0F0E8681" w14:textId="3082004D" w:rsidR="0069729B" w:rsidRPr="00EB0F4E" w:rsidRDefault="0069729B" w:rsidP="0069729B">
      <w:pPr>
        <w:spacing w:after="0" w:line="240" w:lineRule="auto"/>
        <w:ind w:left="567" w:hanging="567"/>
        <w:jc w:val="both"/>
        <w:rPr>
          <w:rFonts w:ascii="Calibri" w:hAnsi="Calibri" w:cs="Calibri"/>
          <w:sz w:val="24"/>
          <w:szCs w:val="24"/>
        </w:rPr>
      </w:pPr>
      <w:proofErr w:type="spellStart"/>
      <w:r w:rsidRPr="00EB0F4E">
        <w:rPr>
          <w:rFonts w:ascii="Calibri" w:hAnsi="Calibri" w:cs="Calibri"/>
          <w:sz w:val="24"/>
          <w:szCs w:val="24"/>
        </w:rPr>
        <w:t>M</w:t>
      </w:r>
      <w:r>
        <w:rPr>
          <w:rFonts w:ascii="Calibri" w:hAnsi="Calibri" w:cs="Calibri"/>
          <w:sz w:val="24"/>
          <w:szCs w:val="24"/>
        </w:rPr>
        <w:t>a</w:t>
      </w:r>
      <w:r w:rsidRPr="00EB0F4E">
        <w:rPr>
          <w:rFonts w:ascii="Calibri" w:hAnsi="Calibri" w:cs="Calibri"/>
          <w:sz w:val="24"/>
          <w:szCs w:val="24"/>
        </w:rPr>
        <w:t>ntysaari</w:t>
      </w:r>
      <w:proofErr w:type="spellEnd"/>
      <w:r w:rsidRPr="00EB0F4E">
        <w:rPr>
          <w:rFonts w:ascii="Calibri" w:hAnsi="Calibri" w:cs="Calibri"/>
          <w:sz w:val="24"/>
          <w:szCs w:val="24"/>
        </w:rPr>
        <w:t xml:space="preserve">, P. (2010). </w:t>
      </w:r>
      <w:r w:rsidRPr="00EB0F4E">
        <w:rPr>
          <w:rFonts w:ascii="Calibri" w:hAnsi="Calibri" w:cs="Calibri"/>
          <w:i/>
          <w:iCs/>
          <w:sz w:val="24"/>
          <w:szCs w:val="24"/>
        </w:rPr>
        <w:t xml:space="preserve">The Law of Corporate Finance: General Principles and EU Law: Volume I: Cash Flow, Risk, Agency, Information (Vol. 1). </w:t>
      </w:r>
      <w:r w:rsidRPr="00EB0F4E">
        <w:rPr>
          <w:rFonts w:ascii="Calibri" w:hAnsi="Calibri" w:cs="Calibri"/>
          <w:sz w:val="24"/>
          <w:szCs w:val="24"/>
        </w:rPr>
        <w:t>Germany: Springer.</w:t>
      </w:r>
    </w:p>
    <w:p w14:paraId="1E67B275" w14:textId="77777777" w:rsidR="0069729B" w:rsidRDefault="0069729B" w:rsidP="0069729B">
      <w:pPr>
        <w:spacing w:after="0" w:line="240" w:lineRule="auto"/>
        <w:ind w:left="567" w:hanging="567"/>
        <w:jc w:val="both"/>
        <w:rPr>
          <w:rFonts w:ascii="Calibri" w:hAnsi="Calibri" w:cs="Calibri"/>
          <w:sz w:val="24"/>
          <w:szCs w:val="24"/>
        </w:rPr>
      </w:pPr>
      <w:r w:rsidRPr="00EB0F4E">
        <w:rPr>
          <w:rFonts w:ascii="Calibri" w:hAnsi="Calibri" w:cs="Calibri"/>
          <w:sz w:val="24"/>
          <w:szCs w:val="24"/>
        </w:rPr>
        <w:lastRenderedPageBreak/>
        <w:t xml:space="preserve">Meyer, A. (2015). Does education increase pro-environmental behavior? Evidence from Europe. </w:t>
      </w:r>
      <w:r w:rsidRPr="00EB0F4E">
        <w:rPr>
          <w:rFonts w:ascii="Calibri" w:hAnsi="Calibri" w:cs="Calibri"/>
          <w:i/>
          <w:iCs/>
          <w:sz w:val="24"/>
          <w:szCs w:val="24"/>
        </w:rPr>
        <w:t>Ecological Economics</w:t>
      </w:r>
      <w:r w:rsidRPr="00EB0F4E">
        <w:rPr>
          <w:rFonts w:ascii="Calibri" w:hAnsi="Calibri" w:cs="Calibri"/>
          <w:sz w:val="24"/>
          <w:szCs w:val="24"/>
        </w:rPr>
        <w:t xml:space="preserve">, 116, 108–121. </w:t>
      </w:r>
    </w:p>
    <w:p w14:paraId="3B4AB344" w14:textId="68C310C8" w:rsidR="0069729B" w:rsidRPr="00EB0F4E" w:rsidRDefault="0069729B" w:rsidP="0069729B">
      <w:pPr>
        <w:spacing w:after="0" w:line="240" w:lineRule="auto"/>
        <w:ind w:left="567"/>
        <w:jc w:val="both"/>
        <w:rPr>
          <w:rFonts w:ascii="Calibri" w:hAnsi="Calibri" w:cs="Calibri"/>
          <w:sz w:val="24"/>
          <w:szCs w:val="24"/>
        </w:rPr>
      </w:pPr>
      <w:r w:rsidRPr="00EB0F4E">
        <w:rPr>
          <w:rFonts w:ascii="Calibri" w:hAnsi="Calibri" w:cs="Calibri"/>
          <w:sz w:val="24"/>
          <w:szCs w:val="24"/>
        </w:rPr>
        <w:t>https://doi.org/10.1016/j.ecolecon.2015.04.018</w:t>
      </w:r>
    </w:p>
    <w:p w14:paraId="3BCC1E95" w14:textId="5462AE3C" w:rsidR="0069729B" w:rsidRPr="00EB0F4E" w:rsidRDefault="0069729B" w:rsidP="0069729B">
      <w:pPr>
        <w:spacing w:after="0" w:line="240" w:lineRule="auto"/>
        <w:ind w:left="567" w:hanging="567"/>
        <w:jc w:val="both"/>
        <w:rPr>
          <w:rFonts w:ascii="Calibri" w:hAnsi="Calibri" w:cs="Calibri"/>
          <w:sz w:val="24"/>
          <w:szCs w:val="24"/>
        </w:rPr>
      </w:pPr>
      <w:proofErr w:type="spellStart"/>
      <w:r w:rsidRPr="00EB0F4E">
        <w:rPr>
          <w:rFonts w:ascii="Calibri" w:hAnsi="Calibri" w:cs="Calibri"/>
          <w:sz w:val="24"/>
          <w:szCs w:val="24"/>
        </w:rPr>
        <w:t>Nicol</w:t>
      </w:r>
      <w:r>
        <w:rPr>
          <w:rFonts w:ascii="Calibri" w:hAnsi="Calibri" w:cs="Calibri"/>
          <w:sz w:val="24"/>
          <w:szCs w:val="24"/>
        </w:rPr>
        <w:t>o</w:t>
      </w:r>
      <w:proofErr w:type="spellEnd"/>
      <w:r w:rsidRPr="00EB0F4E">
        <w:rPr>
          <w:rFonts w:ascii="Calibri" w:hAnsi="Calibri" w:cs="Calibri"/>
          <w:sz w:val="24"/>
          <w:szCs w:val="24"/>
        </w:rPr>
        <w:t xml:space="preserve">, G., </w:t>
      </w:r>
      <w:proofErr w:type="spellStart"/>
      <w:r w:rsidRPr="00EB0F4E">
        <w:rPr>
          <w:rFonts w:ascii="Calibri" w:hAnsi="Calibri" w:cs="Calibri"/>
          <w:sz w:val="24"/>
          <w:szCs w:val="24"/>
        </w:rPr>
        <w:t>Zampone</w:t>
      </w:r>
      <w:proofErr w:type="spellEnd"/>
      <w:r w:rsidRPr="00EB0F4E">
        <w:rPr>
          <w:rFonts w:ascii="Calibri" w:hAnsi="Calibri" w:cs="Calibri"/>
          <w:sz w:val="24"/>
          <w:szCs w:val="24"/>
        </w:rPr>
        <w:t xml:space="preserve">, G., </w:t>
      </w:r>
      <w:proofErr w:type="spellStart"/>
      <w:r w:rsidRPr="00EB0F4E">
        <w:rPr>
          <w:rFonts w:ascii="Calibri" w:hAnsi="Calibri" w:cs="Calibri"/>
          <w:sz w:val="24"/>
          <w:szCs w:val="24"/>
        </w:rPr>
        <w:t>Sannino</w:t>
      </w:r>
      <w:proofErr w:type="spellEnd"/>
      <w:r w:rsidRPr="00EB0F4E">
        <w:rPr>
          <w:rFonts w:ascii="Calibri" w:hAnsi="Calibri" w:cs="Calibri"/>
          <w:sz w:val="24"/>
          <w:szCs w:val="24"/>
        </w:rPr>
        <w:t xml:space="preserve">, G., &amp; De </w:t>
      </w:r>
      <w:proofErr w:type="spellStart"/>
      <w:r w:rsidRPr="00EB0F4E">
        <w:rPr>
          <w:rFonts w:ascii="Calibri" w:hAnsi="Calibri" w:cs="Calibri"/>
          <w:sz w:val="24"/>
          <w:szCs w:val="24"/>
        </w:rPr>
        <w:t>Iorio</w:t>
      </w:r>
      <w:proofErr w:type="spellEnd"/>
      <w:r w:rsidRPr="00EB0F4E">
        <w:rPr>
          <w:rFonts w:ascii="Calibri" w:hAnsi="Calibri" w:cs="Calibri"/>
          <w:sz w:val="24"/>
          <w:szCs w:val="24"/>
        </w:rPr>
        <w:t xml:space="preserve">, S. (2021). Sustainable corporate governance and non-financial disclosure in Europe: Does the gender diversity </w:t>
      </w:r>
      <w:proofErr w:type="gramStart"/>
      <w:r w:rsidRPr="00EB0F4E">
        <w:rPr>
          <w:rFonts w:ascii="Calibri" w:hAnsi="Calibri" w:cs="Calibri"/>
          <w:sz w:val="24"/>
          <w:szCs w:val="24"/>
        </w:rPr>
        <w:t>matter?.</w:t>
      </w:r>
      <w:proofErr w:type="gramEnd"/>
      <w:r w:rsidRPr="00EB0F4E">
        <w:rPr>
          <w:rFonts w:ascii="Calibri" w:hAnsi="Calibri" w:cs="Calibri"/>
          <w:sz w:val="24"/>
          <w:szCs w:val="24"/>
        </w:rPr>
        <w:t xml:space="preserve"> </w:t>
      </w:r>
      <w:r w:rsidRPr="00EB0F4E">
        <w:rPr>
          <w:rFonts w:ascii="Calibri" w:hAnsi="Calibri" w:cs="Calibri"/>
          <w:i/>
          <w:iCs/>
          <w:sz w:val="24"/>
          <w:szCs w:val="24"/>
        </w:rPr>
        <w:t>Journal of Applied Accounting Research</w:t>
      </w:r>
      <w:r w:rsidRPr="00EB0F4E">
        <w:rPr>
          <w:rFonts w:ascii="Calibri" w:hAnsi="Calibri" w:cs="Calibri"/>
          <w:sz w:val="24"/>
          <w:szCs w:val="24"/>
        </w:rPr>
        <w:t>, 23(1), 227-249. https://doi.org/10.1108/JAAR-04-2021-0100</w:t>
      </w:r>
    </w:p>
    <w:p w14:paraId="20BDFCAB" w14:textId="77777777" w:rsidR="0069729B" w:rsidRPr="00EB0F4E" w:rsidRDefault="0069729B" w:rsidP="0069729B">
      <w:pPr>
        <w:spacing w:after="0" w:line="240" w:lineRule="auto"/>
        <w:ind w:left="567" w:hanging="567"/>
        <w:jc w:val="both"/>
        <w:rPr>
          <w:rFonts w:ascii="Calibri" w:hAnsi="Calibri" w:cs="Calibri"/>
          <w:sz w:val="24"/>
          <w:szCs w:val="24"/>
        </w:rPr>
      </w:pPr>
      <w:proofErr w:type="spellStart"/>
      <w:r w:rsidRPr="00EB0F4E">
        <w:rPr>
          <w:rFonts w:ascii="Calibri" w:hAnsi="Calibri" w:cs="Calibri"/>
          <w:sz w:val="24"/>
          <w:szCs w:val="24"/>
        </w:rPr>
        <w:t>Orazalin</w:t>
      </w:r>
      <w:proofErr w:type="spellEnd"/>
      <w:r w:rsidRPr="00EB0F4E">
        <w:rPr>
          <w:rFonts w:ascii="Calibri" w:hAnsi="Calibri" w:cs="Calibri"/>
          <w:sz w:val="24"/>
          <w:szCs w:val="24"/>
        </w:rPr>
        <w:t xml:space="preserve">, N. (2020). Board gender diversity, corporate governance, and earnings management: Evidence from an emerging market. </w:t>
      </w:r>
      <w:r w:rsidRPr="00EB0F4E">
        <w:rPr>
          <w:rFonts w:ascii="Calibri" w:hAnsi="Calibri" w:cs="Calibri"/>
          <w:i/>
          <w:iCs/>
          <w:sz w:val="24"/>
          <w:szCs w:val="24"/>
        </w:rPr>
        <w:t>Gender in Management: An International Journal</w:t>
      </w:r>
      <w:r w:rsidRPr="00EB0F4E">
        <w:rPr>
          <w:rFonts w:ascii="Calibri" w:hAnsi="Calibri" w:cs="Calibri"/>
          <w:sz w:val="24"/>
          <w:szCs w:val="24"/>
        </w:rPr>
        <w:t>, 35(1), 37-60. https://doi.org/10.1108/GM-03-2018-0027</w:t>
      </w:r>
    </w:p>
    <w:p w14:paraId="3392EAFD" w14:textId="77777777" w:rsidR="0069729B" w:rsidRPr="00EB0F4E" w:rsidRDefault="0069729B" w:rsidP="0069729B">
      <w:pPr>
        <w:spacing w:after="0" w:line="240" w:lineRule="auto"/>
        <w:ind w:left="567" w:hanging="567"/>
        <w:jc w:val="both"/>
        <w:rPr>
          <w:rFonts w:ascii="Calibri" w:hAnsi="Calibri" w:cs="Calibri"/>
          <w:sz w:val="24"/>
          <w:szCs w:val="24"/>
        </w:rPr>
      </w:pPr>
      <w:r w:rsidRPr="00EB0F4E">
        <w:rPr>
          <w:rFonts w:ascii="Calibri" w:hAnsi="Calibri" w:cs="Calibri"/>
          <w:sz w:val="24"/>
          <w:szCs w:val="24"/>
        </w:rPr>
        <w:t xml:space="preserve">Prabowo, M.A., </w:t>
      </w:r>
      <w:proofErr w:type="spellStart"/>
      <w:r w:rsidRPr="00EB0F4E">
        <w:rPr>
          <w:rFonts w:ascii="Calibri" w:hAnsi="Calibri" w:cs="Calibri"/>
          <w:sz w:val="24"/>
          <w:szCs w:val="24"/>
        </w:rPr>
        <w:t>Jamin</w:t>
      </w:r>
      <w:proofErr w:type="spellEnd"/>
      <w:r w:rsidRPr="00EB0F4E">
        <w:rPr>
          <w:rFonts w:ascii="Calibri" w:hAnsi="Calibri" w:cs="Calibri"/>
          <w:sz w:val="24"/>
          <w:szCs w:val="24"/>
        </w:rPr>
        <w:t xml:space="preserve">, M., </w:t>
      </w:r>
      <w:proofErr w:type="spellStart"/>
      <w:r w:rsidRPr="00EB0F4E">
        <w:rPr>
          <w:rFonts w:ascii="Calibri" w:hAnsi="Calibri" w:cs="Calibri"/>
          <w:sz w:val="24"/>
          <w:szCs w:val="24"/>
        </w:rPr>
        <w:t>Saputro</w:t>
      </w:r>
      <w:proofErr w:type="spellEnd"/>
      <w:r w:rsidRPr="00EB0F4E">
        <w:rPr>
          <w:rFonts w:ascii="Calibri" w:hAnsi="Calibri" w:cs="Calibri"/>
          <w:sz w:val="24"/>
          <w:szCs w:val="24"/>
        </w:rPr>
        <w:t xml:space="preserve">, D.J., </w:t>
      </w:r>
      <w:proofErr w:type="spellStart"/>
      <w:r w:rsidRPr="00EB0F4E">
        <w:rPr>
          <w:rFonts w:ascii="Calibri" w:hAnsi="Calibri" w:cs="Calibri"/>
          <w:sz w:val="24"/>
          <w:szCs w:val="24"/>
        </w:rPr>
        <w:t>Mufraini</w:t>
      </w:r>
      <w:proofErr w:type="spellEnd"/>
      <w:r w:rsidRPr="00EB0F4E">
        <w:rPr>
          <w:rFonts w:ascii="Calibri" w:hAnsi="Calibri" w:cs="Calibri"/>
          <w:sz w:val="24"/>
          <w:szCs w:val="24"/>
        </w:rPr>
        <w:t xml:space="preserve">, A., &amp; </w:t>
      </w:r>
      <w:proofErr w:type="spellStart"/>
      <w:r w:rsidRPr="00EB0F4E">
        <w:rPr>
          <w:rFonts w:ascii="Calibri" w:hAnsi="Calibri" w:cs="Calibri"/>
          <w:sz w:val="24"/>
          <w:szCs w:val="24"/>
        </w:rPr>
        <w:t>Agustia</w:t>
      </w:r>
      <w:proofErr w:type="spellEnd"/>
      <w:r w:rsidRPr="00EB0F4E">
        <w:rPr>
          <w:rFonts w:ascii="Calibri" w:hAnsi="Calibri" w:cs="Calibri"/>
          <w:sz w:val="24"/>
          <w:szCs w:val="24"/>
        </w:rPr>
        <w:t xml:space="preserve">, D. (2017). Female executive officers and corporate social responsibility disclosure: evidence from the banking industry in an emerging market. </w:t>
      </w:r>
      <w:r w:rsidRPr="00EB0F4E">
        <w:rPr>
          <w:rFonts w:ascii="Calibri" w:hAnsi="Calibri" w:cs="Calibri"/>
          <w:i/>
          <w:iCs/>
          <w:sz w:val="24"/>
          <w:szCs w:val="24"/>
        </w:rPr>
        <w:t>Journal for Global Business Advancement</w:t>
      </w:r>
      <w:r w:rsidRPr="00EB0F4E">
        <w:rPr>
          <w:rFonts w:ascii="Calibri" w:hAnsi="Calibri" w:cs="Calibri"/>
          <w:sz w:val="24"/>
          <w:szCs w:val="24"/>
        </w:rPr>
        <w:t>, 10(6), 631-651. https://doi.org/10.1504/JGBA.2017.091944</w:t>
      </w:r>
    </w:p>
    <w:p w14:paraId="264DAE99" w14:textId="03E27079" w:rsidR="0069729B" w:rsidRPr="00EB0F4E" w:rsidRDefault="0069729B" w:rsidP="0069729B">
      <w:pPr>
        <w:spacing w:after="0" w:line="240" w:lineRule="auto"/>
        <w:ind w:left="567" w:hanging="567"/>
        <w:jc w:val="both"/>
        <w:rPr>
          <w:rFonts w:ascii="Calibri" w:hAnsi="Calibri" w:cs="Calibri"/>
          <w:sz w:val="24"/>
          <w:szCs w:val="24"/>
        </w:rPr>
      </w:pPr>
      <w:proofErr w:type="spellStart"/>
      <w:r w:rsidRPr="00EB0F4E">
        <w:rPr>
          <w:rFonts w:ascii="Calibri" w:hAnsi="Calibri" w:cs="Calibri"/>
          <w:sz w:val="24"/>
          <w:szCs w:val="24"/>
        </w:rPr>
        <w:t>Sarhan</w:t>
      </w:r>
      <w:proofErr w:type="spellEnd"/>
      <w:r w:rsidRPr="00EB0F4E">
        <w:rPr>
          <w:rFonts w:ascii="Calibri" w:hAnsi="Calibri" w:cs="Calibri"/>
          <w:sz w:val="24"/>
          <w:szCs w:val="24"/>
        </w:rPr>
        <w:t>, A.</w:t>
      </w:r>
      <w:r>
        <w:rPr>
          <w:rFonts w:ascii="Calibri" w:hAnsi="Calibri" w:cs="Calibri"/>
          <w:sz w:val="24"/>
          <w:szCs w:val="24"/>
        </w:rPr>
        <w:t xml:space="preserve"> </w:t>
      </w:r>
      <w:r w:rsidRPr="00EB0F4E">
        <w:rPr>
          <w:rFonts w:ascii="Calibri" w:hAnsi="Calibri" w:cs="Calibri"/>
          <w:sz w:val="24"/>
          <w:szCs w:val="24"/>
        </w:rPr>
        <w:t xml:space="preserve">A., </w:t>
      </w:r>
      <w:proofErr w:type="spellStart"/>
      <w:r w:rsidRPr="00EB0F4E">
        <w:rPr>
          <w:rFonts w:ascii="Calibri" w:hAnsi="Calibri" w:cs="Calibri"/>
          <w:sz w:val="24"/>
          <w:szCs w:val="24"/>
        </w:rPr>
        <w:t>Ntim</w:t>
      </w:r>
      <w:proofErr w:type="spellEnd"/>
      <w:r w:rsidRPr="00EB0F4E">
        <w:rPr>
          <w:rFonts w:ascii="Calibri" w:hAnsi="Calibri" w:cs="Calibri"/>
          <w:sz w:val="24"/>
          <w:szCs w:val="24"/>
        </w:rPr>
        <w:t>, C.</w:t>
      </w:r>
      <w:r>
        <w:rPr>
          <w:rFonts w:ascii="Calibri" w:hAnsi="Calibri" w:cs="Calibri"/>
          <w:sz w:val="24"/>
          <w:szCs w:val="24"/>
        </w:rPr>
        <w:t xml:space="preserve"> </w:t>
      </w:r>
      <w:r w:rsidRPr="00EB0F4E">
        <w:rPr>
          <w:rFonts w:ascii="Calibri" w:hAnsi="Calibri" w:cs="Calibri"/>
          <w:sz w:val="24"/>
          <w:szCs w:val="24"/>
        </w:rPr>
        <w:t xml:space="preserve">G., &amp; Al-Najjar, B. (2019). Board diversity, corporate governance, corporate performance, and executive pay. </w:t>
      </w:r>
      <w:r w:rsidRPr="00EB0F4E">
        <w:rPr>
          <w:rFonts w:ascii="Calibri" w:hAnsi="Calibri" w:cs="Calibri"/>
          <w:i/>
          <w:iCs/>
          <w:sz w:val="24"/>
          <w:szCs w:val="24"/>
        </w:rPr>
        <w:t>International Journal of Finance and Economics</w:t>
      </w:r>
      <w:r w:rsidRPr="00EB0F4E">
        <w:rPr>
          <w:rFonts w:ascii="Calibri" w:hAnsi="Calibri" w:cs="Calibri"/>
          <w:sz w:val="24"/>
          <w:szCs w:val="24"/>
        </w:rPr>
        <w:t>, 24, 761–786. https://doi.org/10.1002/ijfe.1690</w:t>
      </w:r>
    </w:p>
    <w:p w14:paraId="0D2FF063" w14:textId="77777777" w:rsidR="0069729B" w:rsidRPr="00EB0F4E" w:rsidRDefault="0069729B" w:rsidP="0069729B">
      <w:pPr>
        <w:spacing w:after="0" w:line="240" w:lineRule="auto"/>
        <w:ind w:left="567" w:hanging="567"/>
        <w:jc w:val="both"/>
        <w:rPr>
          <w:rFonts w:ascii="Calibri" w:hAnsi="Calibri" w:cs="Calibri"/>
          <w:sz w:val="24"/>
          <w:szCs w:val="24"/>
        </w:rPr>
      </w:pPr>
      <w:proofErr w:type="spellStart"/>
      <w:r w:rsidRPr="00EB0F4E">
        <w:rPr>
          <w:rFonts w:ascii="Calibri" w:hAnsi="Calibri" w:cs="Calibri"/>
          <w:sz w:val="24"/>
          <w:szCs w:val="24"/>
        </w:rPr>
        <w:t>Setiawan</w:t>
      </w:r>
      <w:proofErr w:type="spellEnd"/>
      <w:r w:rsidRPr="00EB0F4E">
        <w:rPr>
          <w:rFonts w:ascii="Calibri" w:hAnsi="Calibri" w:cs="Calibri"/>
          <w:sz w:val="24"/>
          <w:szCs w:val="24"/>
        </w:rPr>
        <w:t xml:space="preserve">, D., Brahmana, R. K., </w:t>
      </w:r>
      <w:proofErr w:type="spellStart"/>
      <w:r w:rsidRPr="00EB0F4E">
        <w:rPr>
          <w:rFonts w:ascii="Calibri" w:hAnsi="Calibri" w:cs="Calibri"/>
          <w:sz w:val="24"/>
          <w:szCs w:val="24"/>
        </w:rPr>
        <w:t>Asrihapsari</w:t>
      </w:r>
      <w:proofErr w:type="spellEnd"/>
      <w:r w:rsidRPr="00EB0F4E">
        <w:rPr>
          <w:rFonts w:ascii="Calibri" w:hAnsi="Calibri" w:cs="Calibri"/>
          <w:sz w:val="24"/>
          <w:szCs w:val="24"/>
        </w:rPr>
        <w:t xml:space="preserve">, A., &amp; </w:t>
      </w:r>
      <w:proofErr w:type="spellStart"/>
      <w:r w:rsidRPr="00EB0F4E">
        <w:rPr>
          <w:rFonts w:ascii="Calibri" w:hAnsi="Calibri" w:cs="Calibri"/>
          <w:sz w:val="24"/>
          <w:szCs w:val="24"/>
        </w:rPr>
        <w:t>Maisaroh</w:t>
      </w:r>
      <w:proofErr w:type="spellEnd"/>
      <w:r w:rsidRPr="00EB0F4E">
        <w:rPr>
          <w:rFonts w:ascii="Calibri" w:hAnsi="Calibri" w:cs="Calibri"/>
          <w:sz w:val="24"/>
          <w:szCs w:val="24"/>
        </w:rPr>
        <w:t xml:space="preserve">, S. (2021). Does a foreign board improve corporate social </w:t>
      </w:r>
      <w:proofErr w:type="gramStart"/>
      <w:r w:rsidRPr="00EB0F4E">
        <w:rPr>
          <w:rFonts w:ascii="Calibri" w:hAnsi="Calibri" w:cs="Calibri"/>
          <w:sz w:val="24"/>
          <w:szCs w:val="24"/>
        </w:rPr>
        <w:t>responsibility?.</w:t>
      </w:r>
      <w:proofErr w:type="gramEnd"/>
      <w:r w:rsidRPr="00EB0F4E">
        <w:rPr>
          <w:rFonts w:ascii="Calibri" w:hAnsi="Calibri" w:cs="Calibri"/>
          <w:sz w:val="24"/>
          <w:szCs w:val="24"/>
        </w:rPr>
        <w:t xml:space="preserve"> </w:t>
      </w:r>
      <w:r w:rsidRPr="00EB0F4E">
        <w:rPr>
          <w:rFonts w:ascii="Calibri" w:hAnsi="Calibri" w:cs="Calibri"/>
          <w:i/>
          <w:iCs/>
          <w:sz w:val="24"/>
          <w:szCs w:val="24"/>
        </w:rPr>
        <w:t>Sustainability</w:t>
      </w:r>
      <w:r w:rsidRPr="00EB0F4E">
        <w:rPr>
          <w:rFonts w:ascii="Calibri" w:hAnsi="Calibri" w:cs="Calibri"/>
          <w:sz w:val="24"/>
          <w:szCs w:val="24"/>
        </w:rPr>
        <w:t>, 13(20), 11473. https://doi.org/10.3390/su132011473</w:t>
      </w:r>
    </w:p>
    <w:p w14:paraId="0325C06A" w14:textId="77777777" w:rsidR="0069729B" w:rsidRPr="00EB0F4E" w:rsidRDefault="0069729B" w:rsidP="0069729B">
      <w:pPr>
        <w:spacing w:after="0" w:line="240" w:lineRule="auto"/>
        <w:ind w:left="567" w:hanging="567"/>
        <w:jc w:val="both"/>
        <w:rPr>
          <w:rFonts w:ascii="Calibri" w:hAnsi="Calibri" w:cs="Calibri"/>
          <w:sz w:val="24"/>
          <w:szCs w:val="24"/>
        </w:rPr>
      </w:pPr>
      <w:r w:rsidRPr="00EB0F4E">
        <w:rPr>
          <w:rFonts w:ascii="Calibri" w:hAnsi="Calibri" w:cs="Calibri"/>
          <w:sz w:val="24"/>
          <w:szCs w:val="24"/>
        </w:rPr>
        <w:t xml:space="preserve">Shahab, Y., </w:t>
      </w:r>
      <w:proofErr w:type="spellStart"/>
      <w:r w:rsidRPr="00EB0F4E">
        <w:rPr>
          <w:rFonts w:ascii="Calibri" w:hAnsi="Calibri" w:cs="Calibri"/>
          <w:sz w:val="24"/>
          <w:szCs w:val="24"/>
        </w:rPr>
        <w:t>Ntim</w:t>
      </w:r>
      <w:proofErr w:type="spellEnd"/>
      <w:r w:rsidRPr="00EB0F4E">
        <w:rPr>
          <w:rFonts w:ascii="Calibri" w:hAnsi="Calibri" w:cs="Calibri"/>
          <w:sz w:val="24"/>
          <w:szCs w:val="24"/>
        </w:rPr>
        <w:t xml:space="preserve">, C., </w:t>
      </w:r>
      <w:proofErr w:type="spellStart"/>
      <w:r w:rsidRPr="00EB0F4E">
        <w:rPr>
          <w:rFonts w:ascii="Calibri" w:hAnsi="Calibri" w:cs="Calibri"/>
          <w:sz w:val="24"/>
          <w:szCs w:val="24"/>
        </w:rPr>
        <w:t>Yugang</w:t>
      </w:r>
      <w:proofErr w:type="spellEnd"/>
      <w:r w:rsidRPr="00EB0F4E">
        <w:rPr>
          <w:rFonts w:ascii="Calibri" w:hAnsi="Calibri" w:cs="Calibri"/>
          <w:sz w:val="24"/>
          <w:szCs w:val="24"/>
        </w:rPr>
        <w:t xml:space="preserve">, C., Ullah, F., Li, H. X., &amp; Ye, Z. (2020). CEO attributes, sustainable performance, environmental performance, and environmental reporting: New insights from upper echelons perspective Author Details. </w:t>
      </w:r>
      <w:r w:rsidRPr="00EB0F4E">
        <w:rPr>
          <w:rFonts w:ascii="Calibri" w:hAnsi="Calibri" w:cs="Calibri"/>
          <w:i/>
          <w:iCs/>
          <w:sz w:val="24"/>
          <w:szCs w:val="24"/>
        </w:rPr>
        <w:t xml:space="preserve">Business Strategy and the Environment. </w:t>
      </w:r>
      <w:r w:rsidRPr="00EB0F4E">
        <w:rPr>
          <w:rFonts w:ascii="Calibri" w:hAnsi="Calibri" w:cs="Calibri"/>
          <w:iCs/>
          <w:sz w:val="24"/>
          <w:szCs w:val="24"/>
        </w:rPr>
        <w:t>29(1). https://doi.org/10.1002/bse.2345</w:t>
      </w:r>
    </w:p>
    <w:p w14:paraId="5A5349B2" w14:textId="77777777" w:rsidR="0069729B" w:rsidRPr="00EB0F4E" w:rsidRDefault="0069729B" w:rsidP="0069729B">
      <w:pPr>
        <w:spacing w:after="0" w:line="240" w:lineRule="auto"/>
        <w:ind w:left="567" w:hanging="567"/>
        <w:jc w:val="both"/>
        <w:rPr>
          <w:rFonts w:ascii="Calibri" w:hAnsi="Calibri" w:cs="Calibri"/>
          <w:sz w:val="24"/>
          <w:szCs w:val="24"/>
        </w:rPr>
      </w:pPr>
      <w:r w:rsidRPr="00EB0F4E">
        <w:rPr>
          <w:rFonts w:ascii="Calibri" w:hAnsi="Calibri" w:cs="Calibri"/>
          <w:sz w:val="24"/>
          <w:szCs w:val="24"/>
        </w:rPr>
        <w:t xml:space="preserve">Singhania, S., Singh, J., </w:t>
      </w:r>
      <w:proofErr w:type="spellStart"/>
      <w:r w:rsidRPr="00EB0F4E">
        <w:rPr>
          <w:rFonts w:ascii="Calibri" w:hAnsi="Calibri" w:cs="Calibri"/>
          <w:sz w:val="24"/>
          <w:szCs w:val="24"/>
        </w:rPr>
        <w:t>Aggrawal</w:t>
      </w:r>
      <w:proofErr w:type="spellEnd"/>
      <w:r w:rsidRPr="00EB0F4E">
        <w:rPr>
          <w:rFonts w:ascii="Calibri" w:hAnsi="Calibri" w:cs="Calibri"/>
          <w:sz w:val="24"/>
          <w:szCs w:val="24"/>
        </w:rPr>
        <w:t xml:space="preserve">, D. &amp; Rana, S. (2023), Board gender diversity and sustainability reporting quality: a generalized ordered logit approach, </w:t>
      </w:r>
      <w:proofErr w:type="spellStart"/>
      <w:r w:rsidRPr="00EB0F4E">
        <w:rPr>
          <w:rFonts w:ascii="Calibri" w:hAnsi="Calibri" w:cs="Calibri"/>
          <w:i/>
          <w:iCs/>
          <w:sz w:val="24"/>
          <w:szCs w:val="24"/>
        </w:rPr>
        <w:t>Kybernetes</w:t>
      </w:r>
      <w:proofErr w:type="spellEnd"/>
      <w:r w:rsidRPr="00EB0F4E">
        <w:rPr>
          <w:rFonts w:ascii="Calibri" w:hAnsi="Calibri" w:cs="Calibri"/>
          <w:sz w:val="24"/>
          <w:szCs w:val="24"/>
        </w:rPr>
        <w:t>, forthcoming. https://doi.org/10.1108/K-07-2022-0963</w:t>
      </w:r>
    </w:p>
    <w:p w14:paraId="483F0B6E" w14:textId="77777777" w:rsidR="0069729B" w:rsidRPr="00EB0F4E" w:rsidRDefault="0069729B" w:rsidP="0069729B">
      <w:pPr>
        <w:spacing w:after="0" w:line="240" w:lineRule="auto"/>
        <w:ind w:left="567" w:hanging="567"/>
        <w:jc w:val="both"/>
        <w:rPr>
          <w:rFonts w:ascii="Calibri" w:hAnsi="Calibri" w:cs="Calibri"/>
          <w:sz w:val="24"/>
          <w:szCs w:val="24"/>
        </w:rPr>
      </w:pPr>
      <w:proofErr w:type="spellStart"/>
      <w:r w:rsidRPr="00EB0F4E">
        <w:rPr>
          <w:rFonts w:ascii="Calibri" w:hAnsi="Calibri" w:cs="Calibri"/>
          <w:sz w:val="24"/>
          <w:szCs w:val="24"/>
        </w:rPr>
        <w:t>Siregar</w:t>
      </w:r>
      <w:proofErr w:type="spellEnd"/>
      <w:r w:rsidRPr="00EB0F4E">
        <w:rPr>
          <w:rFonts w:ascii="Calibri" w:hAnsi="Calibri" w:cs="Calibri"/>
          <w:sz w:val="24"/>
          <w:szCs w:val="24"/>
        </w:rPr>
        <w:t xml:space="preserve">, S. V., &amp; </w:t>
      </w:r>
      <w:proofErr w:type="spellStart"/>
      <w:r w:rsidRPr="00EB0F4E">
        <w:rPr>
          <w:rFonts w:ascii="Calibri" w:hAnsi="Calibri" w:cs="Calibri"/>
          <w:sz w:val="24"/>
          <w:szCs w:val="24"/>
        </w:rPr>
        <w:t>Bachtiar</w:t>
      </w:r>
      <w:proofErr w:type="spellEnd"/>
      <w:r w:rsidRPr="00EB0F4E">
        <w:rPr>
          <w:rFonts w:ascii="Calibri" w:hAnsi="Calibri" w:cs="Calibri"/>
          <w:sz w:val="24"/>
          <w:szCs w:val="24"/>
        </w:rPr>
        <w:t xml:space="preserve">, Y. (2010). Corporate social reporting: empirical evidence from Indonesia Stock Exchange. </w:t>
      </w:r>
      <w:r w:rsidRPr="00EB0F4E">
        <w:rPr>
          <w:rFonts w:ascii="Calibri" w:hAnsi="Calibri" w:cs="Calibri"/>
          <w:i/>
          <w:iCs/>
          <w:sz w:val="24"/>
          <w:szCs w:val="24"/>
        </w:rPr>
        <w:t>International Journal of Islamic and Middle Eastern Finance and Management</w:t>
      </w:r>
      <w:r w:rsidRPr="00EB0F4E">
        <w:rPr>
          <w:rFonts w:ascii="Calibri" w:hAnsi="Calibri" w:cs="Calibri"/>
          <w:sz w:val="24"/>
          <w:szCs w:val="24"/>
        </w:rPr>
        <w:t xml:space="preserve">, </w:t>
      </w:r>
      <w:r w:rsidRPr="00EB0F4E">
        <w:rPr>
          <w:rFonts w:ascii="Calibri" w:hAnsi="Calibri" w:cs="Calibri"/>
          <w:i/>
          <w:iCs/>
          <w:sz w:val="24"/>
          <w:szCs w:val="24"/>
        </w:rPr>
        <w:t>3</w:t>
      </w:r>
      <w:r w:rsidRPr="00EB0F4E">
        <w:rPr>
          <w:rFonts w:ascii="Calibri" w:hAnsi="Calibri" w:cs="Calibri"/>
          <w:sz w:val="24"/>
          <w:szCs w:val="24"/>
        </w:rPr>
        <w:t>(3), 241–252. https://doi.org/10.1108/17538391011072435</w:t>
      </w:r>
    </w:p>
    <w:p w14:paraId="35A65CAB" w14:textId="77777777" w:rsidR="0069729B" w:rsidRPr="00EB0F4E" w:rsidRDefault="0069729B" w:rsidP="0069729B">
      <w:pPr>
        <w:spacing w:after="0" w:line="240" w:lineRule="auto"/>
        <w:ind w:left="567" w:hanging="567"/>
        <w:jc w:val="both"/>
        <w:rPr>
          <w:rFonts w:ascii="Calibri" w:hAnsi="Calibri" w:cs="Calibri"/>
          <w:sz w:val="24"/>
          <w:szCs w:val="24"/>
        </w:rPr>
      </w:pPr>
      <w:proofErr w:type="spellStart"/>
      <w:r w:rsidRPr="00EB0F4E">
        <w:rPr>
          <w:rFonts w:ascii="Calibri" w:hAnsi="Calibri" w:cs="Calibri"/>
          <w:sz w:val="24"/>
          <w:szCs w:val="24"/>
        </w:rPr>
        <w:t>Stefanescu</w:t>
      </w:r>
      <w:proofErr w:type="spellEnd"/>
      <w:r w:rsidRPr="00EB0F4E">
        <w:rPr>
          <w:rFonts w:ascii="Calibri" w:hAnsi="Calibri" w:cs="Calibri"/>
          <w:sz w:val="24"/>
          <w:szCs w:val="24"/>
        </w:rPr>
        <w:t xml:space="preserve">, C. A. (2022). Linking sustainability reporting frameworks and sustainable development goals. </w:t>
      </w:r>
      <w:r w:rsidRPr="00EB0F4E">
        <w:rPr>
          <w:rFonts w:ascii="Calibri" w:hAnsi="Calibri" w:cs="Calibri"/>
          <w:i/>
          <w:iCs/>
          <w:sz w:val="24"/>
          <w:szCs w:val="24"/>
        </w:rPr>
        <w:t>Accounting Research Journal</w:t>
      </w:r>
      <w:r w:rsidRPr="00EB0F4E">
        <w:rPr>
          <w:rFonts w:ascii="Calibri" w:hAnsi="Calibri" w:cs="Calibri"/>
          <w:sz w:val="24"/>
          <w:szCs w:val="24"/>
        </w:rPr>
        <w:t xml:space="preserve">, </w:t>
      </w:r>
      <w:r w:rsidRPr="00EB0F4E">
        <w:rPr>
          <w:rFonts w:ascii="Calibri" w:hAnsi="Calibri" w:cs="Calibri"/>
          <w:i/>
          <w:iCs/>
          <w:sz w:val="24"/>
          <w:szCs w:val="24"/>
        </w:rPr>
        <w:t>35</w:t>
      </w:r>
      <w:r w:rsidRPr="00EB0F4E">
        <w:rPr>
          <w:rFonts w:ascii="Calibri" w:hAnsi="Calibri" w:cs="Calibri"/>
          <w:sz w:val="24"/>
          <w:szCs w:val="24"/>
        </w:rPr>
        <w:t>(4), 508–525. https://doi.org/10.1108/ARJ-07-2020-0196</w:t>
      </w:r>
    </w:p>
    <w:p w14:paraId="4A3DE091" w14:textId="77777777" w:rsidR="0069729B" w:rsidRPr="00EB0F4E" w:rsidRDefault="0069729B" w:rsidP="0069729B">
      <w:pPr>
        <w:spacing w:after="0" w:line="240" w:lineRule="auto"/>
        <w:ind w:left="567" w:hanging="567"/>
        <w:jc w:val="both"/>
        <w:rPr>
          <w:rFonts w:ascii="Calibri" w:hAnsi="Calibri" w:cs="Calibri"/>
          <w:sz w:val="24"/>
          <w:szCs w:val="24"/>
        </w:rPr>
      </w:pPr>
      <w:proofErr w:type="spellStart"/>
      <w:r w:rsidRPr="00EB0F4E">
        <w:rPr>
          <w:rFonts w:ascii="Calibri" w:hAnsi="Calibri" w:cs="Calibri"/>
          <w:sz w:val="24"/>
          <w:szCs w:val="24"/>
        </w:rPr>
        <w:t>Suhardjanto</w:t>
      </w:r>
      <w:proofErr w:type="spellEnd"/>
      <w:r w:rsidRPr="00EB0F4E">
        <w:rPr>
          <w:rFonts w:ascii="Calibri" w:hAnsi="Calibri" w:cs="Calibri"/>
          <w:sz w:val="24"/>
          <w:szCs w:val="24"/>
        </w:rPr>
        <w:t xml:space="preserve">, D., </w:t>
      </w:r>
      <w:proofErr w:type="spellStart"/>
      <w:r w:rsidRPr="00EB0F4E">
        <w:rPr>
          <w:rFonts w:ascii="Calibri" w:hAnsi="Calibri" w:cs="Calibri"/>
          <w:sz w:val="24"/>
          <w:szCs w:val="24"/>
        </w:rPr>
        <w:t>Utami</w:t>
      </w:r>
      <w:proofErr w:type="spellEnd"/>
      <w:r w:rsidRPr="00EB0F4E">
        <w:rPr>
          <w:rFonts w:ascii="Calibri" w:hAnsi="Calibri" w:cs="Calibri"/>
          <w:sz w:val="24"/>
          <w:szCs w:val="24"/>
        </w:rPr>
        <w:t xml:space="preserve">, M. E., &amp; </w:t>
      </w:r>
      <w:proofErr w:type="spellStart"/>
      <w:r w:rsidRPr="00EB0F4E">
        <w:rPr>
          <w:rFonts w:ascii="Calibri" w:hAnsi="Calibri" w:cs="Calibri"/>
          <w:sz w:val="24"/>
          <w:szCs w:val="24"/>
        </w:rPr>
        <w:t>Syafruddin</w:t>
      </w:r>
      <w:proofErr w:type="spellEnd"/>
      <w:r w:rsidRPr="00EB0F4E">
        <w:rPr>
          <w:rFonts w:ascii="Calibri" w:hAnsi="Calibri" w:cs="Calibri"/>
          <w:sz w:val="24"/>
          <w:szCs w:val="24"/>
        </w:rPr>
        <w:t xml:space="preserve">, M. (2017). Board of </w:t>
      </w:r>
      <w:proofErr w:type="gramStart"/>
      <w:r w:rsidRPr="00EB0F4E">
        <w:rPr>
          <w:rFonts w:ascii="Calibri" w:hAnsi="Calibri" w:cs="Calibri"/>
          <w:sz w:val="24"/>
          <w:szCs w:val="24"/>
        </w:rPr>
        <w:t>commissioners</w:t>
      </w:r>
      <w:proofErr w:type="gramEnd"/>
      <w:r w:rsidRPr="00EB0F4E">
        <w:rPr>
          <w:rFonts w:ascii="Calibri" w:hAnsi="Calibri" w:cs="Calibri"/>
          <w:sz w:val="24"/>
          <w:szCs w:val="24"/>
        </w:rPr>
        <w:t xml:space="preserve"> diversity and financial performance: a comparative study of listed mining industry in Indonesia and Pakistan. </w:t>
      </w:r>
      <w:r w:rsidRPr="00EB0F4E">
        <w:rPr>
          <w:rFonts w:ascii="Calibri" w:hAnsi="Calibri" w:cs="Calibri"/>
          <w:i/>
          <w:iCs/>
          <w:sz w:val="24"/>
          <w:szCs w:val="24"/>
        </w:rPr>
        <w:t>Review of Integrative Business and Economics Research</w:t>
      </w:r>
      <w:r w:rsidRPr="00EB0F4E">
        <w:rPr>
          <w:rFonts w:ascii="Calibri" w:hAnsi="Calibri" w:cs="Calibri"/>
          <w:sz w:val="24"/>
          <w:szCs w:val="24"/>
        </w:rPr>
        <w:t xml:space="preserve">, 6, 131-142. </w:t>
      </w:r>
    </w:p>
    <w:p w14:paraId="42DCE95A" w14:textId="77777777" w:rsidR="0069729B" w:rsidRPr="00EB0F4E" w:rsidRDefault="0069729B" w:rsidP="0069729B">
      <w:pPr>
        <w:spacing w:after="0" w:line="240" w:lineRule="auto"/>
        <w:ind w:left="567" w:hanging="567"/>
        <w:jc w:val="both"/>
        <w:rPr>
          <w:rFonts w:ascii="Calibri" w:hAnsi="Calibri" w:cs="Calibri"/>
          <w:sz w:val="24"/>
          <w:szCs w:val="24"/>
        </w:rPr>
      </w:pPr>
      <w:proofErr w:type="spellStart"/>
      <w:r w:rsidRPr="00EB0F4E">
        <w:rPr>
          <w:rFonts w:ascii="Calibri" w:hAnsi="Calibri" w:cs="Calibri"/>
          <w:sz w:val="24"/>
          <w:szCs w:val="24"/>
        </w:rPr>
        <w:t>Sumarta</w:t>
      </w:r>
      <w:proofErr w:type="spellEnd"/>
      <w:r w:rsidRPr="00EB0F4E">
        <w:rPr>
          <w:rFonts w:ascii="Calibri" w:hAnsi="Calibri" w:cs="Calibri"/>
          <w:sz w:val="24"/>
          <w:szCs w:val="24"/>
        </w:rPr>
        <w:t xml:space="preserve">, N. H., </w:t>
      </w:r>
      <w:proofErr w:type="spellStart"/>
      <w:r w:rsidRPr="00EB0F4E">
        <w:rPr>
          <w:rFonts w:ascii="Calibri" w:hAnsi="Calibri" w:cs="Calibri"/>
          <w:sz w:val="24"/>
          <w:szCs w:val="24"/>
        </w:rPr>
        <w:t>Amidjaya</w:t>
      </w:r>
      <w:proofErr w:type="spellEnd"/>
      <w:r w:rsidRPr="00EB0F4E">
        <w:rPr>
          <w:rFonts w:ascii="Calibri" w:hAnsi="Calibri" w:cs="Calibri"/>
          <w:sz w:val="24"/>
          <w:szCs w:val="24"/>
        </w:rPr>
        <w:t xml:space="preserve">, P. G., Prabowo, M. A., &amp; </w:t>
      </w:r>
      <w:proofErr w:type="spellStart"/>
      <w:r w:rsidRPr="00EB0F4E">
        <w:rPr>
          <w:rFonts w:ascii="Calibri" w:hAnsi="Calibri" w:cs="Calibri"/>
          <w:sz w:val="24"/>
          <w:szCs w:val="24"/>
        </w:rPr>
        <w:t>Mulyaningsih</w:t>
      </w:r>
      <w:proofErr w:type="spellEnd"/>
      <w:r w:rsidRPr="00EB0F4E">
        <w:rPr>
          <w:rFonts w:ascii="Calibri" w:hAnsi="Calibri" w:cs="Calibri"/>
          <w:sz w:val="24"/>
          <w:szCs w:val="24"/>
        </w:rPr>
        <w:t xml:space="preserve">, T. (2023). Post-Issue of Sustainability Report: Does Market Valuation </w:t>
      </w:r>
      <w:proofErr w:type="gramStart"/>
      <w:r w:rsidRPr="00EB0F4E">
        <w:rPr>
          <w:rFonts w:ascii="Calibri" w:hAnsi="Calibri" w:cs="Calibri"/>
          <w:sz w:val="24"/>
          <w:szCs w:val="24"/>
        </w:rPr>
        <w:t>Improve?.</w:t>
      </w:r>
      <w:proofErr w:type="gramEnd"/>
      <w:r w:rsidRPr="00EB0F4E">
        <w:rPr>
          <w:rFonts w:ascii="Calibri" w:hAnsi="Calibri" w:cs="Calibri"/>
          <w:sz w:val="24"/>
          <w:szCs w:val="24"/>
        </w:rPr>
        <w:t xml:space="preserve"> </w:t>
      </w:r>
      <w:r w:rsidRPr="00EB0F4E">
        <w:rPr>
          <w:rFonts w:ascii="Calibri" w:hAnsi="Calibri" w:cs="Calibri"/>
          <w:i/>
          <w:iCs/>
          <w:sz w:val="24"/>
          <w:szCs w:val="24"/>
        </w:rPr>
        <w:t xml:space="preserve">International Journal of Economics and Management. </w:t>
      </w:r>
      <w:r w:rsidRPr="00EB0F4E">
        <w:rPr>
          <w:rFonts w:ascii="Calibri" w:hAnsi="Calibri" w:cs="Calibri"/>
          <w:sz w:val="24"/>
          <w:szCs w:val="24"/>
        </w:rPr>
        <w:t>17(1), 77-91. http://doi.org/10.47836/ijeam.17.1.06</w:t>
      </w:r>
    </w:p>
    <w:p w14:paraId="2FF0F0E5" w14:textId="77777777" w:rsidR="0069729B" w:rsidRPr="00EB0F4E" w:rsidRDefault="0069729B" w:rsidP="0069729B">
      <w:pPr>
        <w:spacing w:after="0" w:line="240" w:lineRule="auto"/>
        <w:ind w:left="567" w:hanging="567"/>
        <w:jc w:val="both"/>
        <w:rPr>
          <w:rFonts w:ascii="Calibri" w:hAnsi="Calibri" w:cs="Calibri"/>
          <w:sz w:val="24"/>
          <w:szCs w:val="24"/>
        </w:rPr>
      </w:pPr>
      <w:proofErr w:type="spellStart"/>
      <w:r w:rsidRPr="00EB0F4E">
        <w:rPr>
          <w:rFonts w:ascii="Calibri" w:hAnsi="Calibri" w:cs="Calibri"/>
          <w:sz w:val="24"/>
          <w:szCs w:val="24"/>
        </w:rPr>
        <w:t>Sumarta</w:t>
      </w:r>
      <w:proofErr w:type="spellEnd"/>
      <w:r w:rsidRPr="00EB0F4E">
        <w:rPr>
          <w:rFonts w:ascii="Calibri" w:hAnsi="Calibri" w:cs="Calibri"/>
          <w:sz w:val="24"/>
          <w:szCs w:val="24"/>
        </w:rPr>
        <w:t xml:space="preserve">, N. H., Prabowo, M. A., </w:t>
      </w:r>
      <w:proofErr w:type="spellStart"/>
      <w:r w:rsidRPr="00EB0F4E">
        <w:rPr>
          <w:rFonts w:ascii="Calibri" w:hAnsi="Calibri" w:cs="Calibri"/>
          <w:sz w:val="24"/>
          <w:szCs w:val="24"/>
        </w:rPr>
        <w:t>Amidjaya</w:t>
      </w:r>
      <w:proofErr w:type="spellEnd"/>
      <w:r w:rsidRPr="00EB0F4E">
        <w:rPr>
          <w:rFonts w:ascii="Calibri" w:hAnsi="Calibri" w:cs="Calibri"/>
          <w:sz w:val="24"/>
          <w:szCs w:val="24"/>
        </w:rPr>
        <w:t xml:space="preserve">, P. G., </w:t>
      </w:r>
      <w:proofErr w:type="spellStart"/>
      <w:r w:rsidRPr="00EB0F4E">
        <w:rPr>
          <w:rFonts w:ascii="Calibri" w:hAnsi="Calibri" w:cs="Calibri"/>
          <w:sz w:val="24"/>
          <w:szCs w:val="24"/>
        </w:rPr>
        <w:t>Supriyono</w:t>
      </w:r>
      <w:proofErr w:type="spellEnd"/>
      <w:r w:rsidRPr="00EB0F4E">
        <w:rPr>
          <w:rFonts w:ascii="Calibri" w:hAnsi="Calibri" w:cs="Calibri"/>
          <w:sz w:val="24"/>
          <w:szCs w:val="24"/>
        </w:rPr>
        <w:t xml:space="preserve">, E., &amp; </w:t>
      </w:r>
      <w:proofErr w:type="spellStart"/>
      <w:r w:rsidRPr="00EB0F4E">
        <w:rPr>
          <w:rFonts w:ascii="Calibri" w:hAnsi="Calibri" w:cs="Calibri"/>
          <w:sz w:val="24"/>
          <w:szCs w:val="24"/>
        </w:rPr>
        <w:t>Prameswari</w:t>
      </w:r>
      <w:proofErr w:type="spellEnd"/>
      <w:r w:rsidRPr="00EB0F4E">
        <w:rPr>
          <w:rFonts w:ascii="Calibri" w:hAnsi="Calibri" w:cs="Calibri"/>
          <w:sz w:val="24"/>
          <w:szCs w:val="24"/>
        </w:rPr>
        <w:t xml:space="preserve">, A. P. (2021). </w:t>
      </w:r>
      <w:proofErr w:type="spellStart"/>
      <w:r w:rsidRPr="00EB0F4E">
        <w:rPr>
          <w:rFonts w:ascii="Calibri" w:hAnsi="Calibri" w:cs="Calibri"/>
          <w:sz w:val="24"/>
          <w:szCs w:val="24"/>
        </w:rPr>
        <w:t>Ceo</w:t>
      </w:r>
      <w:proofErr w:type="spellEnd"/>
      <w:r w:rsidRPr="00EB0F4E">
        <w:rPr>
          <w:rFonts w:ascii="Calibri" w:hAnsi="Calibri" w:cs="Calibri"/>
          <w:sz w:val="24"/>
          <w:szCs w:val="24"/>
        </w:rPr>
        <w:t xml:space="preserve"> characteristics and environmental performance: Evidence from </w:t>
      </w:r>
      <w:proofErr w:type="spellStart"/>
      <w:r w:rsidRPr="00EB0F4E">
        <w:rPr>
          <w:rFonts w:ascii="Calibri" w:hAnsi="Calibri" w:cs="Calibri"/>
          <w:sz w:val="24"/>
          <w:szCs w:val="24"/>
        </w:rPr>
        <w:t>indonesian</w:t>
      </w:r>
      <w:proofErr w:type="spellEnd"/>
      <w:r w:rsidRPr="00EB0F4E">
        <w:rPr>
          <w:rFonts w:ascii="Calibri" w:hAnsi="Calibri" w:cs="Calibri"/>
          <w:sz w:val="24"/>
          <w:szCs w:val="24"/>
        </w:rPr>
        <w:t xml:space="preserve"> banks. </w:t>
      </w:r>
      <w:r w:rsidRPr="00EB0F4E">
        <w:rPr>
          <w:rFonts w:ascii="Calibri" w:hAnsi="Calibri" w:cs="Calibri"/>
          <w:i/>
          <w:iCs/>
          <w:sz w:val="24"/>
          <w:szCs w:val="24"/>
        </w:rPr>
        <w:t>International Journal of Business and Society</w:t>
      </w:r>
      <w:r w:rsidRPr="00EB0F4E">
        <w:rPr>
          <w:rFonts w:ascii="Calibri" w:hAnsi="Calibri" w:cs="Calibri"/>
          <w:sz w:val="24"/>
          <w:szCs w:val="24"/>
        </w:rPr>
        <w:t xml:space="preserve">, </w:t>
      </w:r>
      <w:r w:rsidRPr="00EB0F4E">
        <w:rPr>
          <w:rFonts w:ascii="Calibri" w:hAnsi="Calibri" w:cs="Calibri"/>
          <w:i/>
          <w:iCs/>
          <w:sz w:val="24"/>
          <w:szCs w:val="24"/>
        </w:rPr>
        <w:t>22</w:t>
      </w:r>
      <w:r w:rsidRPr="00EB0F4E">
        <w:rPr>
          <w:rFonts w:ascii="Calibri" w:hAnsi="Calibri" w:cs="Calibri"/>
          <w:sz w:val="24"/>
          <w:szCs w:val="24"/>
        </w:rPr>
        <w:t>(2), 1015–1033. https://doi.org/10.33736/ijbs.3779.2021</w:t>
      </w:r>
    </w:p>
    <w:p w14:paraId="49565ACE" w14:textId="77777777" w:rsidR="0069729B" w:rsidRPr="00EB0F4E" w:rsidRDefault="0069729B" w:rsidP="0069729B">
      <w:pPr>
        <w:spacing w:after="0" w:line="240" w:lineRule="auto"/>
        <w:ind w:left="567" w:hanging="567"/>
        <w:jc w:val="both"/>
        <w:rPr>
          <w:rFonts w:ascii="Calibri" w:hAnsi="Calibri" w:cs="Calibri"/>
          <w:sz w:val="24"/>
          <w:szCs w:val="24"/>
        </w:rPr>
      </w:pPr>
      <w:proofErr w:type="spellStart"/>
      <w:r w:rsidRPr="00EB0F4E">
        <w:rPr>
          <w:rFonts w:ascii="Calibri" w:hAnsi="Calibri" w:cs="Calibri"/>
          <w:sz w:val="24"/>
          <w:szCs w:val="24"/>
        </w:rPr>
        <w:t>Sumarta</w:t>
      </w:r>
      <w:proofErr w:type="spellEnd"/>
      <w:r w:rsidRPr="00EB0F4E">
        <w:rPr>
          <w:rFonts w:ascii="Calibri" w:hAnsi="Calibri" w:cs="Calibri"/>
          <w:sz w:val="24"/>
          <w:szCs w:val="24"/>
        </w:rPr>
        <w:t xml:space="preserve">, N. H., </w:t>
      </w:r>
      <w:proofErr w:type="spellStart"/>
      <w:r w:rsidRPr="00EB0F4E">
        <w:rPr>
          <w:rFonts w:ascii="Calibri" w:hAnsi="Calibri" w:cs="Calibri"/>
          <w:sz w:val="24"/>
          <w:szCs w:val="24"/>
        </w:rPr>
        <w:t>Rahardjo</w:t>
      </w:r>
      <w:proofErr w:type="spellEnd"/>
      <w:r w:rsidRPr="00EB0F4E">
        <w:rPr>
          <w:rFonts w:ascii="Calibri" w:hAnsi="Calibri" w:cs="Calibri"/>
          <w:sz w:val="24"/>
          <w:szCs w:val="24"/>
        </w:rPr>
        <w:t xml:space="preserve">, M., </w:t>
      </w:r>
      <w:proofErr w:type="spellStart"/>
      <w:r w:rsidRPr="00EB0F4E">
        <w:rPr>
          <w:rFonts w:ascii="Calibri" w:hAnsi="Calibri" w:cs="Calibri"/>
          <w:sz w:val="24"/>
          <w:szCs w:val="24"/>
        </w:rPr>
        <w:t>Satriya</w:t>
      </w:r>
      <w:proofErr w:type="spellEnd"/>
      <w:r w:rsidRPr="00EB0F4E">
        <w:rPr>
          <w:rFonts w:ascii="Calibri" w:hAnsi="Calibri" w:cs="Calibri"/>
          <w:sz w:val="24"/>
          <w:szCs w:val="24"/>
        </w:rPr>
        <w:t xml:space="preserve">, K. K. T., </w:t>
      </w:r>
      <w:proofErr w:type="spellStart"/>
      <w:r w:rsidRPr="00EB0F4E">
        <w:rPr>
          <w:rFonts w:ascii="Calibri" w:hAnsi="Calibri" w:cs="Calibri"/>
          <w:sz w:val="24"/>
          <w:szCs w:val="24"/>
        </w:rPr>
        <w:t>Supriyono</w:t>
      </w:r>
      <w:proofErr w:type="spellEnd"/>
      <w:r w:rsidRPr="00EB0F4E">
        <w:rPr>
          <w:rFonts w:ascii="Calibri" w:hAnsi="Calibri" w:cs="Calibri"/>
          <w:sz w:val="24"/>
          <w:szCs w:val="24"/>
        </w:rPr>
        <w:t xml:space="preserve">, E., &amp; </w:t>
      </w:r>
      <w:proofErr w:type="spellStart"/>
      <w:r w:rsidRPr="00EB0F4E">
        <w:rPr>
          <w:rFonts w:ascii="Calibri" w:hAnsi="Calibri" w:cs="Calibri"/>
          <w:sz w:val="24"/>
          <w:szCs w:val="24"/>
        </w:rPr>
        <w:t>Amidjaya</w:t>
      </w:r>
      <w:proofErr w:type="spellEnd"/>
      <w:r w:rsidRPr="00EB0F4E">
        <w:rPr>
          <w:rFonts w:ascii="Calibri" w:hAnsi="Calibri" w:cs="Calibri"/>
          <w:sz w:val="24"/>
          <w:szCs w:val="24"/>
        </w:rPr>
        <w:t xml:space="preserve">, P. G. (2021). Bank ownership structure and reputation through sustainability reporting in Indonesia. </w:t>
      </w:r>
      <w:r w:rsidRPr="00EB0F4E">
        <w:rPr>
          <w:rFonts w:ascii="Calibri" w:hAnsi="Calibri" w:cs="Calibri"/>
          <w:i/>
          <w:iCs/>
          <w:sz w:val="24"/>
          <w:szCs w:val="24"/>
        </w:rPr>
        <w:t>Social Responsibility Journal</w:t>
      </w:r>
      <w:r w:rsidRPr="00EB0F4E">
        <w:rPr>
          <w:rFonts w:ascii="Calibri" w:hAnsi="Calibri" w:cs="Calibri"/>
          <w:sz w:val="24"/>
          <w:szCs w:val="24"/>
        </w:rPr>
        <w:t>. https://doi.org/10.1108/SRJ-01-2021-0024</w:t>
      </w:r>
    </w:p>
    <w:p w14:paraId="10E673F8" w14:textId="77777777" w:rsidR="0069729B" w:rsidRPr="00EB0F4E" w:rsidRDefault="0069729B" w:rsidP="0069729B">
      <w:pPr>
        <w:spacing w:after="0" w:line="240" w:lineRule="auto"/>
        <w:ind w:left="567" w:hanging="567"/>
        <w:jc w:val="both"/>
        <w:rPr>
          <w:rFonts w:ascii="Calibri" w:hAnsi="Calibri" w:cs="Calibri"/>
          <w:sz w:val="24"/>
          <w:szCs w:val="24"/>
        </w:rPr>
      </w:pPr>
      <w:proofErr w:type="spellStart"/>
      <w:r w:rsidRPr="00EB0F4E">
        <w:rPr>
          <w:rFonts w:ascii="Calibri" w:hAnsi="Calibri" w:cs="Calibri"/>
          <w:sz w:val="24"/>
          <w:szCs w:val="24"/>
        </w:rPr>
        <w:lastRenderedPageBreak/>
        <w:t>Tandoh</w:t>
      </w:r>
      <w:proofErr w:type="spellEnd"/>
      <w:r w:rsidRPr="00EB0F4E">
        <w:rPr>
          <w:rFonts w:ascii="Calibri" w:hAnsi="Calibri" w:cs="Calibri"/>
          <w:sz w:val="24"/>
          <w:szCs w:val="24"/>
        </w:rPr>
        <w:t xml:space="preserve">, </w:t>
      </w:r>
      <w:proofErr w:type="gramStart"/>
      <w:r w:rsidRPr="00EB0F4E">
        <w:rPr>
          <w:rFonts w:ascii="Calibri" w:hAnsi="Calibri" w:cs="Calibri"/>
          <w:sz w:val="24"/>
          <w:szCs w:val="24"/>
        </w:rPr>
        <w:t>I. .</w:t>
      </w:r>
      <w:proofErr w:type="gramEnd"/>
      <w:r w:rsidRPr="00EB0F4E">
        <w:rPr>
          <w:rFonts w:ascii="Calibri" w:hAnsi="Calibri" w:cs="Calibri"/>
          <w:sz w:val="24"/>
          <w:szCs w:val="24"/>
        </w:rPr>
        <w:t xml:space="preserve">, </w:t>
      </w:r>
      <w:proofErr w:type="spellStart"/>
      <w:r w:rsidRPr="00EB0F4E">
        <w:rPr>
          <w:rFonts w:ascii="Calibri" w:hAnsi="Calibri" w:cs="Calibri"/>
          <w:sz w:val="24"/>
          <w:szCs w:val="24"/>
        </w:rPr>
        <w:t>Duffour</w:t>
      </w:r>
      <w:proofErr w:type="spellEnd"/>
      <w:r w:rsidRPr="00EB0F4E">
        <w:rPr>
          <w:rFonts w:ascii="Calibri" w:hAnsi="Calibri" w:cs="Calibri"/>
          <w:sz w:val="24"/>
          <w:szCs w:val="24"/>
        </w:rPr>
        <w:t xml:space="preserve">, K. A., </w:t>
      </w:r>
      <w:proofErr w:type="spellStart"/>
      <w:r w:rsidRPr="00EB0F4E">
        <w:rPr>
          <w:rFonts w:ascii="Calibri" w:hAnsi="Calibri" w:cs="Calibri"/>
          <w:sz w:val="24"/>
          <w:szCs w:val="24"/>
        </w:rPr>
        <w:t>Essandoh</w:t>
      </w:r>
      <w:proofErr w:type="spellEnd"/>
      <w:r w:rsidRPr="00EB0F4E">
        <w:rPr>
          <w:rFonts w:ascii="Calibri" w:hAnsi="Calibri" w:cs="Calibri"/>
          <w:sz w:val="24"/>
          <w:szCs w:val="24"/>
        </w:rPr>
        <w:t xml:space="preserve">, M. ., &amp; Amoako, R. N. . (2022). Corporate Governance, Corporate Social Responsibility, and Corporate Sustainability: The Moderating Role of Top Management Commitment. </w:t>
      </w:r>
      <w:r w:rsidRPr="00EB0F4E">
        <w:rPr>
          <w:rFonts w:ascii="Calibri" w:hAnsi="Calibri" w:cs="Calibri"/>
          <w:i/>
          <w:iCs/>
          <w:sz w:val="24"/>
          <w:szCs w:val="24"/>
        </w:rPr>
        <w:t>International Journal of Professional Business Review</w:t>
      </w:r>
      <w:r w:rsidRPr="00EB0F4E">
        <w:rPr>
          <w:rFonts w:ascii="Calibri" w:hAnsi="Calibri" w:cs="Calibri"/>
          <w:sz w:val="24"/>
          <w:szCs w:val="24"/>
        </w:rPr>
        <w:t>, 7(2), e0309. https://doi.org/10.26668/businessreview/2022.v7i2.309</w:t>
      </w:r>
    </w:p>
    <w:p w14:paraId="73FBB07B" w14:textId="77777777" w:rsidR="0069729B" w:rsidRPr="00EB0F4E" w:rsidRDefault="0069729B" w:rsidP="0069729B">
      <w:pPr>
        <w:spacing w:after="0" w:line="240" w:lineRule="auto"/>
        <w:ind w:left="567" w:hanging="567"/>
        <w:jc w:val="both"/>
        <w:rPr>
          <w:rFonts w:ascii="Calibri" w:hAnsi="Calibri" w:cs="Calibri"/>
          <w:sz w:val="24"/>
          <w:szCs w:val="24"/>
        </w:rPr>
      </w:pPr>
      <w:r w:rsidRPr="00EB0F4E">
        <w:rPr>
          <w:rFonts w:ascii="Calibri" w:hAnsi="Calibri" w:cs="Calibri"/>
          <w:sz w:val="24"/>
          <w:szCs w:val="24"/>
        </w:rPr>
        <w:t xml:space="preserve">Tang, Y., Mack, D. Z., &amp; Chen, G. (2018). The differential effects of CEO narcissism and hubris on corporate social responsibility. </w:t>
      </w:r>
      <w:r w:rsidRPr="00EB0F4E">
        <w:rPr>
          <w:rFonts w:ascii="Calibri" w:hAnsi="Calibri" w:cs="Calibri"/>
          <w:i/>
          <w:iCs/>
          <w:sz w:val="24"/>
          <w:szCs w:val="24"/>
        </w:rPr>
        <w:t>Strategic Management Journal</w:t>
      </w:r>
      <w:r w:rsidRPr="00EB0F4E">
        <w:rPr>
          <w:rFonts w:ascii="Calibri" w:hAnsi="Calibri" w:cs="Calibri"/>
          <w:sz w:val="24"/>
          <w:szCs w:val="24"/>
        </w:rPr>
        <w:t>, 39(5), 1370-1387. https://doi.org/10.1002/smj.2761</w:t>
      </w:r>
    </w:p>
    <w:p w14:paraId="19AE5227" w14:textId="77777777" w:rsidR="0069729B" w:rsidRPr="00EB0F4E" w:rsidRDefault="0069729B" w:rsidP="0069729B">
      <w:pPr>
        <w:spacing w:after="0" w:line="240" w:lineRule="auto"/>
        <w:ind w:left="567" w:hanging="567"/>
        <w:jc w:val="both"/>
        <w:rPr>
          <w:rFonts w:ascii="Calibri" w:hAnsi="Calibri" w:cs="Calibri"/>
          <w:sz w:val="24"/>
          <w:szCs w:val="24"/>
        </w:rPr>
      </w:pPr>
      <w:r w:rsidRPr="00EB0F4E">
        <w:rPr>
          <w:rFonts w:ascii="Calibri" w:hAnsi="Calibri" w:cs="Calibri"/>
          <w:sz w:val="24"/>
          <w:szCs w:val="24"/>
        </w:rPr>
        <w:t xml:space="preserve">Valente, A., &amp; Atkinson, D. (2019). Sustainability in business: A millennials’ perspective. </w:t>
      </w:r>
      <w:r w:rsidRPr="00EB0F4E">
        <w:rPr>
          <w:rFonts w:ascii="Calibri" w:hAnsi="Calibri" w:cs="Calibri"/>
          <w:i/>
          <w:iCs/>
          <w:sz w:val="24"/>
          <w:szCs w:val="24"/>
        </w:rPr>
        <w:t>Journal of Modern Accounting and Auditing</w:t>
      </w:r>
      <w:r w:rsidRPr="00EB0F4E">
        <w:rPr>
          <w:rFonts w:ascii="Calibri" w:hAnsi="Calibri" w:cs="Calibri"/>
          <w:sz w:val="24"/>
          <w:szCs w:val="24"/>
        </w:rPr>
        <w:t>, 15(6), 293-304. http://doi.org/10.17265/1548-6583/2019.06.002</w:t>
      </w:r>
    </w:p>
    <w:p w14:paraId="4F925232" w14:textId="77777777" w:rsidR="0069729B" w:rsidRPr="00EB0F4E" w:rsidRDefault="0069729B" w:rsidP="0069729B">
      <w:pPr>
        <w:spacing w:after="0" w:line="240" w:lineRule="auto"/>
        <w:ind w:left="567" w:hanging="567"/>
        <w:jc w:val="both"/>
        <w:rPr>
          <w:rFonts w:ascii="Calibri" w:hAnsi="Calibri" w:cs="Calibri"/>
          <w:sz w:val="24"/>
          <w:szCs w:val="24"/>
        </w:rPr>
      </w:pPr>
      <w:proofErr w:type="spellStart"/>
      <w:r w:rsidRPr="00EB0F4E">
        <w:rPr>
          <w:rFonts w:ascii="Calibri" w:hAnsi="Calibri" w:cs="Calibri"/>
          <w:sz w:val="24"/>
          <w:szCs w:val="24"/>
        </w:rPr>
        <w:t>Vitolla</w:t>
      </w:r>
      <w:proofErr w:type="spellEnd"/>
      <w:r w:rsidRPr="00EB0F4E">
        <w:rPr>
          <w:rFonts w:ascii="Calibri" w:hAnsi="Calibri" w:cs="Calibri"/>
          <w:sz w:val="24"/>
          <w:szCs w:val="24"/>
        </w:rPr>
        <w:t xml:space="preserve">, F., </w:t>
      </w:r>
      <w:proofErr w:type="spellStart"/>
      <w:r w:rsidRPr="00EB0F4E">
        <w:rPr>
          <w:rFonts w:ascii="Calibri" w:hAnsi="Calibri" w:cs="Calibri"/>
          <w:sz w:val="24"/>
          <w:szCs w:val="24"/>
        </w:rPr>
        <w:t>Raimo</w:t>
      </w:r>
      <w:proofErr w:type="spellEnd"/>
      <w:r w:rsidRPr="00EB0F4E">
        <w:rPr>
          <w:rFonts w:ascii="Calibri" w:hAnsi="Calibri" w:cs="Calibri"/>
          <w:sz w:val="24"/>
          <w:szCs w:val="24"/>
        </w:rPr>
        <w:t xml:space="preserve">, N., &amp; </w:t>
      </w:r>
      <w:proofErr w:type="spellStart"/>
      <w:r w:rsidRPr="00EB0F4E">
        <w:rPr>
          <w:rFonts w:ascii="Calibri" w:hAnsi="Calibri" w:cs="Calibri"/>
          <w:sz w:val="24"/>
          <w:szCs w:val="24"/>
        </w:rPr>
        <w:t>Rubino</w:t>
      </w:r>
      <w:proofErr w:type="spellEnd"/>
      <w:r w:rsidRPr="00EB0F4E">
        <w:rPr>
          <w:rFonts w:ascii="Calibri" w:hAnsi="Calibri" w:cs="Calibri"/>
          <w:sz w:val="24"/>
          <w:szCs w:val="24"/>
        </w:rPr>
        <w:t xml:space="preserve">, M. (2020). Board characteristics and integrated reporting quality: An agency theory perspective. </w:t>
      </w:r>
      <w:r w:rsidRPr="00EB0F4E">
        <w:rPr>
          <w:rFonts w:ascii="Calibri" w:hAnsi="Calibri" w:cs="Calibri"/>
          <w:i/>
          <w:iCs/>
          <w:sz w:val="24"/>
          <w:szCs w:val="24"/>
        </w:rPr>
        <w:t>Corporate Social Responsibility and Environmental Management,</w:t>
      </w:r>
      <w:r w:rsidRPr="00EB0F4E">
        <w:rPr>
          <w:rFonts w:ascii="Calibri" w:hAnsi="Calibri" w:cs="Calibri"/>
          <w:sz w:val="24"/>
          <w:szCs w:val="24"/>
        </w:rPr>
        <w:t xml:space="preserve"> 27(2), 1152-1163. https://doi.org/10.1002/csr.1879</w:t>
      </w:r>
    </w:p>
    <w:p w14:paraId="3B683290" w14:textId="77777777" w:rsidR="0069729B" w:rsidRPr="00EB0F4E" w:rsidRDefault="0069729B" w:rsidP="0069729B">
      <w:pPr>
        <w:spacing w:after="0" w:line="240" w:lineRule="auto"/>
        <w:ind w:left="567" w:hanging="567"/>
        <w:jc w:val="both"/>
        <w:rPr>
          <w:rFonts w:ascii="Calibri" w:hAnsi="Calibri" w:cs="Calibri"/>
          <w:sz w:val="24"/>
          <w:szCs w:val="24"/>
        </w:rPr>
      </w:pPr>
      <w:r w:rsidRPr="00EB0F4E">
        <w:rPr>
          <w:rFonts w:ascii="Calibri" w:hAnsi="Calibri" w:cs="Calibri"/>
          <w:sz w:val="24"/>
          <w:szCs w:val="24"/>
        </w:rPr>
        <w:t xml:space="preserve">Walls, J. L., &amp; </w:t>
      </w:r>
      <w:proofErr w:type="spellStart"/>
      <w:r w:rsidRPr="00EB0F4E">
        <w:rPr>
          <w:rFonts w:ascii="Calibri" w:hAnsi="Calibri" w:cs="Calibri"/>
          <w:sz w:val="24"/>
          <w:szCs w:val="24"/>
        </w:rPr>
        <w:t>Berrone</w:t>
      </w:r>
      <w:proofErr w:type="spellEnd"/>
      <w:r w:rsidRPr="00EB0F4E">
        <w:rPr>
          <w:rFonts w:ascii="Calibri" w:hAnsi="Calibri" w:cs="Calibri"/>
          <w:sz w:val="24"/>
          <w:szCs w:val="24"/>
        </w:rPr>
        <w:t xml:space="preserve">, P. (2017). The power of one to make a difference: How informal and formal CEO power affect environmental sustainability. </w:t>
      </w:r>
      <w:r w:rsidRPr="00EB0F4E">
        <w:rPr>
          <w:rFonts w:ascii="Calibri" w:hAnsi="Calibri" w:cs="Calibri"/>
          <w:i/>
          <w:iCs/>
          <w:sz w:val="24"/>
          <w:szCs w:val="24"/>
        </w:rPr>
        <w:t>Journal of Business Ethics</w:t>
      </w:r>
      <w:r w:rsidRPr="00EB0F4E">
        <w:rPr>
          <w:rFonts w:ascii="Calibri" w:hAnsi="Calibri" w:cs="Calibri"/>
          <w:sz w:val="24"/>
          <w:szCs w:val="24"/>
        </w:rPr>
        <w:t>, 145(2), 293-308. https://doi.org/10.1007/s10551-015-2902-z</w:t>
      </w:r>
    </w:p>
    <w:p w14:paraId="27689575" w14:textId="77777777" w:rsidR="0069729B" w:rsidRPr="00EB0F4E" w:rsidRDefault="0069729B" w:rsidP="0069729B">
      <w:pPr>
        <w:spacing w:after="0" w:line="240" w:lineRule="auto"/>
        <w:ind w:left="567" w:hanging="567"/>
        <w:jc w:val="both"/>
        <w:rPr>
          <w:rFonts w:ascii="Calibri" w:hAnsi="Calibri" w:cs="Calibri"/>
          <w:sz w:val="24"/>
          <w:szCs w:val="24"/>
        </w:rPr>
      </w:pPr>
      <w:r w:rsidRPr="00EB0F4E">
        <w:rPr>
          <w:rFonts w:ascii="Calibri" w:hAnsi="Calibri" w:cs="Calibri"/>
          <w:sz w:val="24"/>
          <w:szCs w:val="24"/>
        </w:rPr>
        <w:t xml:space="preserve">Zhang, J., Kong, D., &amp; Wu, J. (2018). Doing good business by hiring directors with foreign experience. </w:t>
      </w:r>
      <w:r w:rsidRPr="00EB0F4E">
        <w:rPr>
          <w:rFonts w:ascii="Calibri" w:hAnsi="Calibri" w:cs="Calibri"/>
          <w:i/>
          <w:iCs/>
          <w:sz w:val="24"/>
          <w:szCs w:val="24"/>
        </w:rPr>
        <w:t>Journal of Business Ethics</w:t>
      </w:r>
      <w:r w:rsidRPr="00EB0F4E">
        <w:rPr>
          <w:rFonts w:ascii="Calibri" w:hAnsi="Calibri" w:cs="Calibri"/>
          <w:sz w:val="24"/>
          <w:szCs w:val="24"/>
        </w:rPr>
        <w:t xml:space="preserve">, 153(3), 859-876. </w:t>
      </w:r>
    </w:p>
    <w:p w14:paraId="723A667E" w14:textId="77777777" w:rsidR="0069729B" w:rsidRPr="00EB0F4E" w:rsidRDefault="0069729B" w:rsidP="0069729B">
      <w:pPr>
        <w:spacing w:after="0" w:line="240" w:lineRule="auto"/>
        <w:jc w:val="both"/>
        <w:rPr>
          <w:rFonts w:ascii="Calibri" w:hAnsi="Calibri" w:cs="Calibri"/>
          <w:sz w:val="24"/>
          <w:szCs w:val="24"/>
        </w:rPr>
      </w:pPr>
    </w:p>
    <w:p w14:paraId="457AEA6E" w14:textId="77777777" w:rsidR="0069729B" w:rsidRPr="00EB0F4E" w:rsidRDefault="0069729B" w:rsidP="0069729B">
      <w:pPr>
        <w:spacing w:after="0" w:line="240" w:lineRule="auto"/>
        <w:jc w:val="both"/>
        <w:rPr>
          <w:rFonts w:ascii="Calibri" w:eastAsia="Calibri" w:hAnsi="Calibri" w:cs="Calibri"/>
          <w:b/>
          <w:bCs/>
          <w:sz w:val="24"/>
          <w:szCs w:val="24"/>
        </w:rPr>
      </w:pPr>
    </w:p>
    <w:p w14:paraId="590A8B51" w14:textId="77777777" w:rsidR="007B05DB" w:rsidRPr="007B05DB" w:rsidRDefault="007B05DB" w:rsidP="007B05DB">
      <w:pPr>
        <w:rPr>
          <w:lang w:val="en-GB" w:eastAsia="en-MY"/>
        </w:rPr>
      </w:pPr>
    </w:p>
    <w:sectPr w:rsidR="007B05DB" w:rsidRPr="007B05DB" w:rsidSect="008927CD">
      <w:headerReference w:type="default" r:id="rId11"/>
      <w:footerReference w:type="default" r:id="rId12"/>
      <w:pgSz w:w="11906" w:h="16838" w:code="9"/>
      <w:pgMar w:top="1440" w:right="1440" w:bottom="1440" w:left="1440" w:header="720" w:footer="720" w:gutter="0"/>
      <w:pgNumType w:start="11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1FF3A" w14:textId="77777777" w:rsidR="00772DA2" w:rsidRDefault="00772DA2" w:rsidP="0011697D">
      <w:pPr>
        <w:spacing w:after="0" w:line="240" w:lineRule="auto"/>
      </w:pPr>
      <w:r>
        <w:separator/>
      </w:r>
    </w:p>
  </w:endnote>
  <w:endnote w:type="continuationSeparator" w:id="0">
    <w:p w14:paraId="66750294" w14:textId="77777777" w:rsidR="00772DA2" w:rsidRDefault="00772DA2" w:rsidP="0011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NewtonC">
    <w:altName w:val="Cambria"/>
    <w:panose1 w:val="00000000000000000000"/>
    <w:charset w:val="00"/>
    <w:family w:val="roman"/>
    <w:notTrueType/>
    <w:pitch w:val="default"/>
    <w:sig w:usb0="00000003" w:usb1="00000000" w:usb2="00000000" w:usb3="00000000" w:csb0="00000001" w:csb1="00000000"/>
  </w:font>
  <w:font w:name="Helvetica Neue">
    <w:altName w:val="Arial"/>
    <w:panose1 w:val="00000000000000000000"/>
    <w:charset w:val="00"/>
    <w:family w:val="roman"/>
    <w:notTrueType/>
    <w:pitch w:val="default"/>
  </w:font>
  <w:font w:name="Arabic Transparent">
    <w:panose1 w:val="020B0604020202020204"/>
    <w:charset w:val="00"/>
    <w:family w:val="swiss"/>
    <w:pitch w:val="variable"/>
    <w:sig w:usb0="E0002EFF" w:usb1="C000785B"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Arno Pro">
    <w:altName w:val="Cambria"/>
    <w:panose1 w:val="00000000000000000000"/>
    <w:charset w:val="00"/>
    <w:family w:val="roman"/>
    <w:notTrueType/>
    <w:pitch w:val="default"/>
    <w:sig w:usb0="00000003" w:usb1="00000000" w:usb2="00000000" w:usb3="00000000" w:csb0="00000001" w:csb1="00000000"/>
  </w:font>
  <w:font w:name="PT Serif">
    <w:altName w:val="Arial"/>
    <w:charset w:val="00"/>
    <w:family w:val="roman"/>
    <w:pitch w:val="default"/>
    <w:sig w:usb0="A00002EF" w:usb1="5000204B" w:usb2="00000000" w:usb3="00000000" w:csb0="00000097" w:csb1="00000000"/>
  </w:font>
  <w:font w:name="Roboto">
    <w:panose1 w:val="02000000000000000000"/>
    <w:charset w:val="00"/>
    <w:family w:val="auto"/>
    <w:pitch w:val="variable"/>
    <w:sig w:usb0="E00002FF" w:usb1="5000205B" w:usb2="00000020" w:usb3="00000000" w:csb0="0000019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1282156"/>
      <w:docPartObj>
        <w:docPartGallery w:val="Page Numbers (Bottom of Page)"/>
        <w:docPartUnique/>
      </w:docPartObj>
    </w:sdtPr>
    <w:sdtEndPr>
      <w:rPr>
        <w:noProof/>
      </w:rPr>
    </w:sdtEndPr>
    <w:sdtContent>
      <w:p w14:paraId="6BC3C148" w14:textId="17F6B3B2" w:rsidR="003C069A" w:rsidRDefault="003C06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AEF2C" w14:textId="77777777" w:rsidR="00772DA2" w:rsidRDefault="00772DA2" w:rsidP="0011697D">
      <w:pPr>
        <w:spacing w:after="0" w:line="240" w:lineRule="auto"/>
      </w:pPr>
      <w:r>
        <w:separator/>
      </w:r>
    </w:p>
  </w:footnote>
  <w:footnote w:type="continuationSeparator" w:id="0">
    <w:p w14:paraId="5145437A" w14:textId="77777777" w:rsidR="00772DA2" w:rsidRDefault="00772DA2" w:rsidP="0011697D">
      <w:pPr>
        <w:spacing w:after="0" w:line="240" w:lineRule="auto"/>
      </w:pPr>
      <w:r>
        <w:continuationSeparator/>
      </w:r>
    </w:p>
  </w:footnote>
  <w:footnote w:id="1">
    <w:p w14:paraId="3A54765F" w14:textId="77777777" w:rsidR="0069729B" w:rsidRPr="006F36F4" w:rsidRDefault="0069729B" w:rsidP="0069729B">
      <w:pPr>
        <w:pStyle w:val="FootnoteText"/>
        <w:rPr>
          <w:rFonts w:ascii="Times New Roman" w:hAnsi="Times New Roman"/>
          <w:i/>
          <w:iCs/>
        </w:rPr>
      </w:pPr>
      <w:r w:rsidRPr="001D64BB">
        <w:rPr>
          <w:rStyle w:val="FootnoteReference"/>
        </w:rPr>
        <w:footnoteRef/>
      </w:r>
      <w:r w:rsidRPr="006F36F4">
        <w:rPr>
          <w:rFonts w:ascii="Times New Roman" w:hAnsi="Times New Roman"/>
        </w:rPr>
        <w:t xml:space="preserve"> </w:t>
      </w:r>
      <w:r w:rsidRPr="006F36F4">
        <w:rPr>
          <w:rFonts w:ascii="Times New Roman" w:hAnsi="Times New Roman"/>
          <w:i/>
          <w:iCs/>
        </w:rPr>
        <w:t>OJK Regulation Number 51/POJK.03/2017 concerning Sustainable Finance Implementation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70093" w14:textId="77777777" w:rsidR="00FA4AC4" w:rsidRDefault="00FA4AC4" w:rsidP="002C3F39">
    <w:pPr>
      <w:widowControl w:val="0"/>
      <w:autoSpaceDE w:val="0"/>
      <w:autoSpaceDN w:val="0"/>
      <w:adjustRightInd w:val="0"/>
      <w:spacing w:after="0" w:line="240" w:lineRule="auto"/>
      <w:rPr>
        <w:rFonts w:ascii="Castellar" w:hAnsi="Castellar" w:cs="Arial"/>
        <w:i/>
        <w:iCs/>
        <w:color w:val="1F3864" w:themeColor="accent1" w:themeShade="80"/>
        <w:sz w:val="21"/>
        <w:szCs w:val="21"/>
        <w:shd w:val="clear" w:color="auto" w:fill="FFFFFF"/>
      </w:rPr>
    </w:pPr>
    <w:r>
      <w:rPr>
        <w:rFonts w:ascii="Castellar" w:hAnsi="Castellar" w:cs="Arial"/>
        <w:b/>
        <w:bCs/>
        <w:color w:val="1F3864" w:themeColor="accent1" w:themeShade="80"/>
        <w:spacing w:val="-6"/>
        <w:w w:val="85"/>
        <w:sz w:val="21"/>
        <w:szCs w:val="21"/>
        <w:lang w:val="en-GB"/>
      </w:rPr>
      <w:t xml:space="preserve">INTERNATIONAL JOURNAL OF ACADEMIC RESEARCH IN </w:t>
    </w:r>
    <w:r>
      <w:rPr>
        <w:rFonts w:ascii="Castellar" w:hAnsi="Castellar" w:cs="Arial"/>
        <w:b/>
        <w:bCs/>
        <w:color w:val="1F3864" w:themeColor="accent1" w:themeShade="80"/>
        <w:sz w:val="21"/>
        <w:szCs w:val="21"/>
        <w:shd w:val="clear" w:color="auto" w:fill="FFFFFF"/>
      </w:rPr>
      <w:t>ACCOUNTING, FINANCE AND MANAGEMENT SCIENCES</w:t>
    </w:r>
    <w:r>
      <w:rPr>
        <w:rFonts w:ascii="Castellar" w:hAnsi="Castellar" w:cs="Arial"/>
        <w:i/>
        <w:iCs/>
        <w:color w:val="1F3864" w:themeColor="accent1" w:themeShade="80"/>
        <w:sz w:val="21"/>
        <w:szCs w:val="21"/>
        <w:shd w:val="clear" w:color="auto" w:fill="FFFFFF"/>
      </w:rPr>
      <w:t xml:space="preserve"> </w:t>
    </w:r>
  </w:p>
  <w:p w14:paraId="32B5631D" w14:textId="7D0B2586" w:rsidR="00FA4AC4" w:rsidRPr="002C3F39" w:rsidRDefault="00FA4AC4" w:rsidP="008E727D">
    <w:pPr>
      <w:pStyle w:val="Header"/>
      <w:rPr>
        <w:sz w:val="4"/>
        <w:szCs w:val="4"/>
      </w:rPr>
    </w:pPr>
    <w:r>
      <w:rPr>
        <w:b/>
        <w:bCs/>
        <w:color w:val="1F3864" w:themeColor="accent1" w:themeShade="80"/>
        <w:spacing w:val="-18"/>
        <w:sz w:val="16"/>
        <w:szCs w:val="16"/>
        <w:lang w:val="en-GB" w:eastAsia="pl-PL"/>
      </w:rPr>
      <w:t xml:space="preserve"> </w:t>
    </w:r>
    <w:r>
      <w:rPr>
        <w:b/>
        <w:bCs/>
        <w:spacing w:val="-18"/>
        <w:sz w:val="16"/>
        <w:szCs w:val="16"/>
        <w:lang w:val="en-GB" w:eastAsia="pl-PL"/>
      </w:rPr>
      <w:t>V</w:t>
    </w:r>
    <w:r>
      <w:rPr>
        <w:b/>
        <w:bCs/>
        <w:sz w:val="16"/>
        <w:szCs w:val="16"/>
        <w:lang w:val="en-GB" w:eastAsia="pl-PL"/>
      </w:rPr>
      <w:t>ol.</w:t>
    </w:r>
    <w:r>
      <w:rPr>
        <w:b/>
        <w:bCs/>
        <w:spacing w:val="22"/>
        <w:sz w:val="16"/>
        <w:szCs w:val="16"/>
        <w:lang w:val="en-GB" w:eastAsia="pl-PL"/>
      </w:rPr>
      <w:t xml:space="preserve"> 1</w:t>
    </w:r>
    <w:r w:rsidR="008E727D">
      <w:rPr>
        <w:b/>
        <w:bCs/>
        <w:spacing w:val="22"/>
        <w:sz w:val="16"/>
        <w:szCs w:val="16"/>
        <w:lang w:val="en-GB" w:eastAsia="pl-PL"/>
      </w:rPr>
      <w:t>3</w:t>
    </w:r>
    <w:r>
      <w:rPr>
        <w:b/>
        <w:bCs/>
        <w:sz w:val="16"/>
        <w:szCs w:val="16"/>
        <w:lang w:val="en-GB" w:eastAsia="pl-PL"/>
      </w:rPr>
      <w:t>,</w:t>
    </w:r>
    <w:r>
      <w:rPr>
        <w:b/>
        <w:bCs/>
        <w:spacing w:val="11"/>
        <w:sz w:val="16"/>
        <w:szCs w:val="16"/>
        <w:lang w:val="en-GB" w:eastAsia="pl-PL"/>
      </w:rPr>
      <w:t xml:space="preserve"> </w:t>
    </w:r>
    <w:r>
      <w:rPr>
        <w:b/>
        <w:bCs/>
        <w:sz w:val="16"/>
        <w:szCs w:val="16"/>
        <w:lang w:val="en-GB" w:eastAsia="pl-PL"/>
      </w:rPr>
      <w:t>No. 2, 202</w:t>
    </w:r>
    <w:r w:rsidR="008E727D">
      <w:rPr>
        <w:b/>
        <w:bCs/>
        <w:sz w:val="16"/>
        <w:szCs w:val="16"/>
        <w:lang w:val="en-GB" w:eastAsia="pl-PL"/>
      </w:rPr>
      <w:t>3</w:t>
    </w:r>
    <w:r>
      <w:rPr>
        <w:b/>
        <w:bCs/>
        <w:sz w:val="16"/>
        <w:szCs w:val="16"/>
        <w:lang w:val="en-GB" w:eastAsia="pl-PL"/>
      </w:rPr>
      <w:t>,</w:t>
    </w:r>
    <w:r>
      <w:rPr>
        <w:b/>
        <w:bCs/>
        <w:spacing w:val="8"/>
        <w:sz w:val="16"/>
        <w:szCs w:val="16"/>
        <w:lang w:val="en-GB" w:eastAsia="pl-PL"/>
      </w:rPr>
      <w:t xml:space="preserve"> </w:t>
    </w:r>
    <w:r>
      <w:rPr>
        <w:b/>
        <w:bCs/>
        <w:position w:val="1"/>
        <w:sz w:val="16"/>
        <w:szCs w:val="16"/>
        <w:lang w:val="en-GB" w:eastAsia="pl-PL"/>
      </w:rPr>
      <w:t>E-ISSN:</w:t>
    </w:r>
    <w:r>
      <w:rPr>
        <w:b/>
        <w:bCs/>
        <w:spacing w:val="17"/>
        <w:position w:val="1"/>
        <w:sz w:val="16"/>
        <w:szCs w:val="16"/>
        <w:lang w:val="en-GB" w:eastAsia="pl-PL"/>
      </w:rPr>
      <w:t xml:space="preserve"> 2225</w:t>
    </w:r>
    <w:r>
      <w:rPr>
        <w:b/>
        <w:bCs/>
        <w:position w:val="1"/>
        <w:sz w:val="16"/>
        <w:szCs w:val="16"/>
        <w:lang w:val="en-GB" w:eastAsia="pl-PL"/>
      </w:rPr>
      <w:t xml:space="preserve">-8329 </w:t>
    </w:r>
    <w:r>
      <w:rPr>
        <w:b/>
        <w:bCs/>
        <w:sz w:val="16"/>
        <w:szCs w:val="16"/>
        <w:lang w:val="en-GB" w:eastAsia="pl-PL"/>
      </w:rPr>
      <w:t>© 202</w:t>
    </w:r>
    <w:r w:rsidR="008E727D">
      <w:rPr>
        <w:b/>
        <w:bCs/>
        <w:sz w:val="16"/>
        <w:szCs w:val="16"/>
        <w:lang w:val="en-GB" w:eastAsia="pl-P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4734E"/>
    <w:multiLevelType w:val="hybridMultilevel"/>
    <w:tmpl w:val="64962B06"/>
    <w:lvl w:ilvl="0" w:tplc="4409000F">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28561C4"/>
    <w:multiLevelType w:val="multilevel"/>
    <w:tmpl w:val="02856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D0F0B"/>
    <w:multiLevelType w:val="multilevel"/>
    <w:tmpl w:val="0B180F28"/>
    <w:styleLink w:val="Mazleha-GayaUKM-Founder"/>
    <w:lvl w:ilvl="0">
      <w:start w:val="1"/>
      <w:numFmt w:val="decimal"/>
      <w:lvlText w:val="%1"/>
      <w:lvlJc w:val="left"/>
      <w:pPr>
        <w:ind w:left="0" w:firstLine="0"/>
      </w:pPr>
      <w:rPr>
        <w:rFonts w:ascii="Times New Roman" w:hAnsi="Times New Roman" w:cs="Times New Roman" w:hint="default"/>
        <w:b/>
        <w:i w:val="0"/>
        <w:caps w:val="0"/>
        <w:vanish/>
        <w:color w:val="FF0000"/>
        <w:sz w:val="22"/>
      </w:rPr>
    </w:lvl>
    <w:lvl w:ilvl="1">
      <w:start w:val="1"/>
      <w:numFmt w:val="upperRoman"/>
      <w:lvlRestart w:val="0"/>
      <w:lvlText w:val="CHAPTER %2"/>
      <w:lvlJc w:val="left"/>
      <w:pPr>
        <w:tabs>
          <w:tab w:val="num" w:pos="1418"/>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sz w:val="22"/>
      </w:rPr>
    </w:lvl>
    <w:lvl w:ilvl="3">
      <w:start w:val="1"/>
      <w:numFmt w:val="decimal"/>
      <w:lvlText w:val="%1.%3.%4"/>
      <w:lvlJc w:val="left"/>
      <w:pPr>
        <w:ind w:left="720" w:hanging="720"/>
      </w:pPr>
      <w:rPr>
        <w:rFonts w:ascii="Times New Roman" w:hAnsi="Times New Roman" w:cs="Times New Roman" w:hint="default"/>
        <w:b/>
        <w:i w:val="0"/>
        <w:caps w:val="0"/>
        <w:sz w:val="22"/>
      </w:rPr>
    </w:lvl>
    <w:lvl w:ilvl="4">
      <w:start w:val="1"/>
      <w:numFmt w:val="lowerLetter"/>
      <w:lvlText w:val="%5."/>
      <w:lvlJc w:val="left"/>
      <w:pPr>
        <w:ind w:left="720" w:hanging="720"/>
      </w:pPr>
      <w:rPr>
        <w:rFonts w:ascii="Times New Roman" w:hAnsi="Times New Roman" w:cs="Times New Roman" w:hint="default"/>
        <w:b/>
        <w:i w:val="0"/>
        <w:sz w:val="22"/>
      </w:rPr>
    </w:lvl>
    <w:lvl w:ilvl="5">
      <w:start w:val="1"/>
      <w:numFmt w:val="lowerRoman"/>
      <w:lvlText w:val="%6."/>
      <w:lvlJc w:val="left"/>
      <w:pPr>
        <w:ind w:left="720" w:hanging="720"/>
      </w:pPr>
      <w:rPr>
        <w:rFonts w:ascii="Times New Roman" w:hAnsi="Times New Roman" w:cs="Times New Roman" w:hint="default"/>
        <w:b/>
        <w:i w:val="0"/>
        <w:sz w:val="22"/>
      </w:rPr>
    </w:lvl>
    <w:lvl w:ilvl="6">
      <w:start w:val="1"/>
      <w:numFmt w:val="none"/>
      <w:lvlText w:val=""/>
      <w:lvlJc w:val="left"/>
      <w:pPr>
        <w:ind w:left="0" w:firstLine="0"/>
      </w:pPr>
      <w:rPr>
        <w:rFonts w:ascii="Times New Roman" w:hAnsi="Times New Roman" w:hint="default"/>
        <w:b/>
        <w:i w:val="0"/>
        <w:sz w:val="24"/>
      </w:rPr>
    </w:lvl>
    <w:lvl w:ilvl="7">
      <w:start w:val="1"/>
      <w:numFmt w:val="none"/>
      <w:lvlText w:val=""/>
      <w:lvlJc w:val="left"/>
      <w:pPr>
        <w:ind w:left="0" w:firstLine="0"/>
      </w:pPr>
      <w:rPr>
        <w:rFonts w:ascii="Times New Roman" w:hAnsi="Times New Roman" w:hint="default"/>
        <w:b/>
        <w:i w:val="0"/>
        <w:sz w:val="24"/>
      </w:rPr>
    </w:lvl>
    <w:lvl w:ilvl="8">
      <w:start w:val="1"/>
      <w:numFmt w:val="none"/>
      <w:lvlText w:val=""/>
      <w:lvlJc w:val="left"/>
      <w:pPr>
        <w:ind w:left="709" w:hanging="709"/>
      </w:pPr>
      <w:rPr>
        <w:rFonts w:ascii="Times New Roman" w:hAnsi="Times New Roman" w:hint="default"/>
        <w:b/>
        <w:i w:val="0"/>
        <w:sz w:val="24"/>
      </w:rPr>
    </w:lvl>
  </w:abstractNum>
  <w:abstractNum w:abstractNumId="3" w15:restartNumberingAfterBreak="0">
    <w:nsid w:val="20261B81"/>
    <w:multiLevelType w:val="hybridMultilevel"/>
    <w:tmpl w:val="EB56DAE4"/>
    <w:lvl w:ilvl="0" w:tplc="201E996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E57BE"/>
    <w:multiLevelType w:val="hybridMultilevel"/>
    <w:tmpl w:val="0EC4C3D6"/>
    <w:lvl w:ilvl="0" w:tplc="DE6C604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A996484"/>
    <w:multiLevelType w:val="multilevel"/>
    <w:tmpl w:val="2A996484"/>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C462F58"/>
    <w:multiLevelType w:val="hybridMultilevel"/>
    <w:tmpl w:val="64962B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E254FF"/>
    <w:multiLevelType w:val="multilevel"/>
    <w:tmpl w:val="3B5EFFD8"/>
    <w:styleLink w:val="Mazleha-UKM-Melayu"/>
    <w:lvl w:ilvl="0">
      <w:start w:val="1"/>
      <w:numFmt w:val="decimal"/>
      <w:lvlText w:val="%1"/>
      <w:lvlJc w:val="left"/>
      <w:pPr>
        <w:ind w:left="720" w:hanging="720"/>
      </w:pPr>
      <w:rPr>
        <w:rFonts w:ascii="Times New Roman" w:hAnsi="Times New Roman" w:hint="default"/>
        <w:b/>
        <w:i w:val="0"/>
        <w:caps w:val="0"/>
        <w:vanish/>
        <w:color w:val="FF0000"/>
        <w:sz w:val="22"/>
      </w:rPr>
    </w:lvl>
    <w:lvl w:ilvl="1">
      <w:start w:val="1"/>
      <w:numFmt w:val="upperRoman"/>
      <w:lvlRestart w:val="0"/>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vanish w:val="0"/>
        <w:sz w:val="22"/>
      </w:rPr>
    </w:lvl>
    <w:lvl w:ilvl="3">
      <w:start w:val="1"/>
      <w:numFmt w:val="decimal"/>
      <w:lvlText w:val="%1.%3.%4"/>
      <w:lvlJc w:val="left"/>
      <w:pPr>
        <w:ind w:left="720" w:hanging="720"/>
      </w:pPr>
      <w:rPr>
        <w:rFonts w:ascii="Times New Roman" w:hAnsi="Times New Roman" w:cs="Times New Roman" w:hint="default"/>
        <w:b/>
        <w:i w:val="0"/>
        <w:caps w:val="0"/>
        <w:vanish w:val="0"/>
        <w:sz w:val="22"/>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8" w15:restartNumberingAfterBreak="0">
    <w:nsid w:val="2F290388"/>
    <w:multiLevelType w:val="hybridMultilevel"/>
    <w:tmpl w:val="3254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3273C"/>
    <w:multiLevelType w:val="hybridMultilevel"/>
    <w:tmpl w:val="9C20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CC5984"/>
    <w:multiLevelType w:val="hybridMultilevel"/>
    <w:tmpl w:val="B26A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9F4CFD"/>
    <w:multiLevelType w:val="hybridMultilevel"/>
    <w:tmpl w:val="73F0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A08DF"/>
    <w:multiLevelType w:val="hybridMultilevel"/>
    <w:tmpl w:val="EC6A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A12DF"/>
    <w:multiLevelType w:val="hybridMultilevel"/>
    <w:tmpl w:val="64962B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4B3D03"/>
    <w:multiLevelType w:val="hybridMultilevel"/>
    <w:tmpl w:val="9518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B7D9F"/>
    <w:multiLevelType w:val="hybridMultilevel"/>
    <w:tmpl w:val="1FEA93F4"/>
    <w:styleLink w:val="Numbered"/>
    <w:lvl w:ilvl="0" w:tplc="A38CC4AE">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FF46360">
      <w:start w:val="1"/>
      <w:numFmt w:val="decimal"/>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8F27C6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AB86E50">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1587C58">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9980B4E">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ED24CD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902191C">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1F01D12">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15:restartNumberingAfterBreak="0">
    <w:nsid w:val="7738779A"/>
    <w:multiLevelType w:val="multilevel"/>
    <w:tmpl w:val="77EC1FB2"/>
    <w:lvl w:ilvl="0">
      <w:start w:val="1"/>
      <w:numFmt w:val="decimal"/>
      <w:pStyle w:val="0heading1"/>
      <w:lvlText w:val="%1"/>
      <w:lvlJc w:val="left"/>
      <w:pPr>
        <w:tabs>
          <w:tab w:val="num" w:pos="567"/>
        </w:tabs>
        <w:ind w:left="567" w:hanging="567"/>
      </w:pPr>
      <w:rPr>
        <w:rFonts w:hint="default"/>
      </w:rPr>
    </w:lvl>
    <w:lvl w:ilvl="1">
      <w:start w:val="1"/>
      <w:numFmt w:val="decimal"/>
      <w:pStyle w:val="0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7"/>
  </w:num>
  <w:num w:numId="3">
    <w:abstractNumId w:val="16"/>
  </w:num>
  <w:num w:numId="4">
    <w:abstractNumId w:val="15"/>
  </w:num>
  <w:num w:numId="5">
    <w:abstractNumId w:val="10"/>
  </w:num>
  <w:num w:numId="6">
    <w:abstractNumId w:val="9"/>
  </w:num>
  <w:num w:numId="7">
    <w:abstractNumId w:val="11"/>
  </w:num>
  <w:num w:numId="8">
    <w:abstractNumId w:val="14"/>
  </w:num>
  <w:num w:numId="9">
    <w:abstractNumId w:val="3"/>
  </w:num>
  <w:num w:numId="10">
    <w:abstractNumId w:val="4"/>
  </w:num>
  <w:num w:numId="11">
    <w:abstractNumId w:val="1"/>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0"/>
  </w:num>
  <w:num w:numId="16">
    <w:abstractNumId w:val="6"/>
  </w:num>
  <w:num w:numId="1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1MTQ2szA1tDA1NTJS0lEKTi0uzszPAykwNKwFAKRXQhotAAAA"/>
  </w:docVars>
  <w:rsids>
    <w:rsidRoot w:val="00317C65"/>
    <w:rsid w:val="000026E9"/>
    <w:rsid w:val="000070D7"/>
    <w:rsid w:val="00016176"/>
    <w:rsid w:val="00024AD5"/>
    <w:rsid w:val="00024D24"/>
    <w:rsid w:val="00026B6F"/>
    <w:rsid w:val="00031EE0"/>
    <w:rsid w:val="00032C95"/>
    <w:rsid w:val="000358F5"/>
    <w:rsid w:val="00042752"/>
    <w:rsid w:val="00044564"/>
    <w:rsid w:val="00044DAF"/>
    <w:rsid w:val="00052616"/>
    <w:rsid w:val="00055FD7"/>
    <w:rsid w:val="00056133"/>
    <w:rsid w:val="000619FC"/>
    <w:rsid w:val="00065B8E"/>
    <w:rsid w:val="0008239F"/>
    <w:rsid w:val="00084457"/>
    <w:rsid w:val="00094F81"/>
    <w:rsid w:val="00095560"/>
    <w:rsid w:val="00095672"/>
    <w:rsid w:val="000A0E17"/>
    <w:rsid w:val="000A3F6F"/>
    <w:rsid w:val="000B6048"/>
    <w:rsid w:val="000C1EC8"/>
    <w:rsid w:val="000C6EF8"/>
    <w:rsid w:val="000D3E09"/>
    <w:rsid w:val="000D5498"/>
    <w:rsid w:val="000D5610"/>
    <w:rsid w:val="000D69D8"/>
    <w:rsid w:val="000E0CB6"/>
    <w:rsid w:val="000F0EDD"/>
    <w:rsid w:val="000F2AD3"/>
    <w:rsid w:val="000F5AD1"/>
    <w:rsid w:val="000F62AA"/>
    <w:rsid w:val="000F67D3"/>
    <w:rsid w:val="001021D6"/>
    <w:rsid w:val="001139FB"/>
    <w:rsid w:val="0011697D"/>
    <w:rsid w:val="001172FE"/>
    <w:rsid w:val="0011735E"/>
    <w:rsid w:val="00120227"/>
    <w:rsid w:val="00131146"/>
    <w:rsid w:val="001319F4"/>
    <w:rsid w:val="001329B1"/>
    <w:rsid w:val="00132AAC"/>
    <w:rsid w:val="001354CD"/>
    <w:rsid w:val="00135E65"/>
    <w:rsid w:val="00136701"/>
    <w:rsid w:val="00136ABF"/>
    <w:rsid w:val="00137A65"/>
    <w:rsid w:val="00141192"/>
    <w:rsid w:val="0014471E"/>
    <w:rsid w:val="001452AB"/>
    <w:rsid w:val="00154229"/>
    <w:rsid w:val="00156A84"/>
    <w:rsid w:val="00157764"/>
    <w:rsid w:val="0015787D"/>
    <w:rsid w:val="00157F61"/>
    <w:rsid w:val="00160484"/>
    <w:rsid w:val="001620B4"/>
    <w:rsid w:val="00162296"/>
    <w:rsid w:val="0016476E"/>
    <w:rsid w:val="00171692"/>
    <w:rsid w:val="0017774D"/>
    <w:rsid w:val="00191A3F"/>
    <w:rsid w:val="001929D9"/>
    <w:rsid w:val="0019639D"/>
    <w:rsid w:val="00196CC9"/>
    <w:rsid w:val="0019703D"/>
    <w:rsid w:val="001A1611"/>
    <w:rsid w:val="001A4192"/>
    <w:rsid w:val="001A62E2"/>
    <w:rsid w:val="001A6319"/>
    <w:rsid w:val="001A7077"/>
    <w:rsid w:val="001B0444"/>
    <w:rsid w:val="001B209E"/>
    <w:rsid w:val="001C1DC6"/>
    <w:rsid w:val="001C281D"/>
    <w:rsid w:val="001C5253"/>
    <w:rsid w:val="001D07F7"/>
    <w:rsid w:val="001D2D12"/>
    <w:rsid w:val="001D3E66"/>
    <w:rsid w:val="001D6050"/>
    <w:rsid w:val="001E0430"/>
    <w:rsid w:val="001E4604"/>
    <w:rsid w:val="001E7D7F"/>
    <w:rsid w:val="001F53F6"/>
    <w:rsid w:val="001F6664"/>
    <w:rsid w:val="00201A0A"/>
    <w:rsid w:val="00204894"/>
    <w:rsid w:val="0020783B"/>
    <w:rsid w:val="00211C25"/>
    <w:rsid w:val="00212190"/>
    <w:rsid w:val="00214D97"/>
    <w:rsid w:val="002208F9"/>
    <w:rsid w:val="002227A5"/>
    <w:rsid w:val="00223294"/>
    <w:rsid w:val="002246CA"/>
    <w:rsid w:val="00236A05"/>
    <w:rsid w:val="002378B6"/>
    <w:rsid w:val="00246119"/>
    <w:rsid w:val="002475F0"/>
    <w:rsid w:val="002511BE"/>
    <w:rsid w:val="00256429"/>
    <w:rsid w:val="00260F0C"/>
    <w:rsid w:val="002667A7"/>
    <w:rsid w:val="00270E50"/>
    <w:rsid w:val="00276B93"/>
    <w:rsid w:val="00280293"/>
    <w:rsid w:val="00282740"/>
    <w:rsid w:val="00287DDB"/>
    <w:rsid w:val="00294916"/>
    <w:rsid w:val="002A4E1F"/>
    <w:rsid w:val="002A59FE"/>
    <w:rsid w:val="002A79A2"/>
    <w:rsid w:val="002B4951"/>
    <w:rsid w:val="002B682B"/>
    <w:rsid w:val="002C0101"/>
    <w:rsid w:val="002C27A0"/>
    <w:rsid w:val="002C3F39"/>
    <w:rsid w:val="002C4462"/>
    <w:rsid w:val="002C55E1"/>
    <w:rsid w:val="002D04E4"/>
    <w:rsid w:val="002D1A87"/>
    <w:rsid w:val="00300310"/>
    <w:rsid w:val="00301CAF"/>
    <w:rsid w:val="00303F44"/>
    <w:rsid w:val="00310A68"/>
    <w:rsid w:val="003115A9"/>
    <w:rsid w:val="0031474D"/>
    <w:rsid w:val="00316574"/>
    <w:rsid w:val="00317C65"/>
    <w:rsid w:val="00321B95"/>
    <w:rsid w:val="003406FB"/>
    <w:rsid w:val="00342134"/>
    <w:rsid w:val="00343E98"/>
    <w:rsid w:val="00344F9C"/>
    <w:rsid w:val="003502CB"/>
    <w:rsid w:val="0036084F"/>
    <w:rsid w:val="00361BB5"/>
    <w:rsid w:val="0036389B"/>
    <w:rsid w:val="00370720"/>
    <w:rsid w:val="00371DAE"/>
    <w:rsid w:val="00381DF1"/>
    <w:rsid w:val="003833A3"/>
    <w:rsid w:val="003861B3"/>
    <w:rsid w:val="00391097"/>
    <w:rsid w:val="003914C0"/>
    <w:rsid w:val="0039382D"/>
    <w:rsid w:val="003A47DB"/>
    <w:rsid w:val="003B0E8F"/>
    <w:rsid w:val="003B54AD"/>
    <w:rsid w:val="003C069A"/>
    <w:rsid w:val="003C2D3E"/>
    <w:rsid w:val="003D04E8"/>
    <w:rsid w:val="003D2949"/>
    <w:rsid w:val="003D38AA"/>
    <w:rsid w:val="003E0FD0"/>
    <w:rsid w:val="003E113F"/>
    <w:rsid w:val="003E7B34"/>
    <w:rsid w:val="003F688B"/>
    <w:rsid w:val="00405254"/>
    <w:rsid w:val="00405A55"/>
    <w:rsid w:val="00406A0A"/>
    <w:rsid w:val="004225BE"/>
    <w:rsid w:val="00426F70"/>
    <w:rsid w:val="00427E72"/>
    <w:rsid w:val="004306FE"/>
    <w:rsid w:val="004335FA"/>
    <w:rsid w:val="0043407C"/>
    <w:rsid w:val="00437D3D"/>
    <w:rsid w:val="00442C77"/>
    <w:rsid w:val="0045627D"/>
    <w:rsid w:val="00456FEC"/>
    <w:rsid w:val="00476482"/>
    <w:rsid w:val="004831FC"/>
    <w:rsid w:val="00485C36"/>
    <w:rsid w:val="00494068"/>
    <w:rsid w:val="00496EAA"/>
    <w:rsid w:val="00497D37"/>
    <w:rsid w:val="004A24D0"/>
    <w:rsid w:val="004B2990"/>
    <w:rsid w:val="004B4226"/>
    <w:rsid w:val="004B6BD3"/>
    <w:rsid w:val="004C2F17"/>
    <w:rsid w:val="004C30E7"/>
    <w:rsid w:val="004C7151"/>
    <w:rsid w:val="004C75FA"/>
    <w:rsid w:val="004D026F"/>
    <w:rsid w:val="004D0BB2"/>
    <w:rsid w:val="004D77F0"/>
    <w:rsid w:val="004E344A"/>
    <w:rsid w:val="005016DE"/>
    <w:rsid w:val="00516DC6"/>
    <w:rsid w:val="00524ABE"/>
    <w:rsid w:val="00527917"/>
    <w:rsid w:val="0053523B"/>
    <w:rsid w:val="0053762C"/>
    <w:rsid w:val="0053770F"/>
    <w:rsid w:val="00552EEE"/>
    <w:rsid w:val="0055719B"/>
    <w:rsid w:val="00563168"/>
    <w:rsid w:val="005640F3"/>
    <w:rsid w:val="00571936"/>
    <w:rsid w:val="00573453"/>
    <w:rsid w:val="00573D52"/>
    <w:rsid w:val="00574AB6"/>
    <w:rsid w:val="005823EC"/>
    <w:rsid w:val="0058535D"/>
    <w:rsid w:val="00590CE5"/>
    <w:rsid w:val="005A1950"/>
    <w:rsid w:val="005A3A0A"/>
    <w:rsid w:val="005A601A"/>
    <w:rsid w:val="005B00C4"/>
    <w:rsid w:val="005D074D"/>
    <w:rsid w:val="005D68E3"/>
    <w:rsid w:val="005E04F7"/>
    <w:rsid w:val="005E0A04"/>
    <w:rsid w:val="005F3A7D"/>
    <w:rsid w:val="006015AF"/>
    <w:rsid w:val="00601C17"/>
    <w:rsid w:val="00603923"/>
    <w:rsid w:val="00604BB9"/>
    <w:rsid w:val="00610F33"/>
    <w:rsid w:val="00620160"/>
    <w:rsid w:val="0062099E"/>
    <w:rsid w:val="00621D26"/>
    <w:rsid w:val="00622830"/>
    <w:rsid w:val="00623068"/>
    <w:rsid w:val="00625019"/>
    <w:rsid w:val="006312EA"/>
    <w:rsid w:val="0064120C"/>
    <w:rsid w:val="00643B78"/>
    <w:rsid w:val="00647290"/>
    <w:rsid w:val="00657B64"/>
    <w:rsid w:val="00660DD2"/>
    <w:rsid w:val="006619FF"/>
    <w:rsid w:val="00661EDF"/>
    <w:rsid w:val="00665C8C"/>
    <w:rsid w:val="00671140"/>
    <w:rsid w:val="006805A1"/>
    <w:rsid w:val="0068161C"/>
    <w:rsid w:val="0068753D"/>
    <w:rsid w:val="00687E0A"/>
    <w:rsid w:val="006907BC"/>
    <w:rsid w:val="00691F77"/>
    <w:rsid w:val="00694F7C"/>
    <w:rsid w:val="0069729B"/>
    <w:rsid w:val="00697EDA"/>
    <w:rsid w:val="006A38F3"/>
    <w:rsid w:val="006B117E"/>
    <w:rsid w:val="006B4D68"/>
    <w:rsid w:val="006B651B"/>
    <w:rsid w:val="006C165C"/>
    <w:rsid w:val="006C5A96"/>
    <w:rsid w:val="006C6E18"/>
    <w:rsid w:val="006D26D8"/>
    <w:rsid w:val="006D2AA1"/>
    <w:rsid w:val="006D58C6"/>
    <w:rsid w:val="006D5D6C"/>
    <w:rsid w:val="006D61B4"/>
    <w:rsid w:val="006E176F"/>
    <w:rsid w:val="006E6914"/>
    <w:rsid w:val="006F125F"/>
    <w:rsid w:val="006F5E43"/>
    <w:rsid w:val="0070028C"/>
    <w:rsid w:val="00703C48"/>
    <w:rsid w:val="00705F22"/>
    <w:rsid w:val="00712D09"/>
    <w:rsid w:val="00713563"/>
    <w:rsid w:val="0071356F"/>
    <w:rsid w:val="00713DA0"/>
    <w:rsid w:val="00713F4E"/>
    <w:rsid w:val="00716F62"/>
    <w:rsid w:val="00722A89"/>
    <w:rsid w:val="00723E0F"/>
    <w:rsid w:val="00724819"/>
    <w:rsid w:val="00726ACE"/>
    <w:rsid w:val="00733BFC"/>
    <w:rsid w:val="00733E2D"/>
    <w:rsid w:val="007348FE"/>
    <w:rsid w:val="00735B6D"/>
    <w:rsid w:val="00736630"/>
    <w:rsid w:val="00736A41"/>
    <w:rsid w:val="0073763C"/>
    <w:rsid w:val="00737822"/>
    <w:rsid w:val="007458EB"/>
    <w:rsid w:val="00752BFB"/>
    <w:rsid w:val="007652E6"/>
    <w:rsid w:val="00765B87"/>
    <w:rsid w:val="0077231D"/>
    <w:rsid w:val="00772DA2"/>
    <w:rsid w:val="007828F0"/>
    <w:rsid w:val="007856E2"/>
    <w:rsid w:val="0078689D"/>
    <w:rsid w:val="00786C5A"/>
    <w:rsid w:val="00791854"/>
    <w:rsid w:val="00792410"/>
    <w:rsid w:val="007A3F32"/>
    <w:rsid w:val="007B05DB"/>
    <w:rsid w:val="007B7809"/>
    <w:rsid w:val="007C54F7"/>
    <w:rsid w:val="007C55C3"/>
    <w:rsid w:val="007D15D3"/>
    <w:rsid w:val="007E08F6"/>
    <w:rsid w:val="007E3921"/>
    <w:rsid w:val="007E49A4"/>
    <w:rsid w:val="007F2E20"/>
    <w:rsid w:val="00800DDF"/>
    <w:rsid w:val="00801370"/>
    <w:rsid w:val="008014BB"/>
    <w:rsid w:val="008025A4"/>
    <w:rsid w:val="008156A3"/>
    <w:rsid w:val="008236FB"/>
    <w:rsid w:val="00824027"/>
    <w:rsid w:val="0083067A"/>
    <w:rsid w:val="0083558F"/>
    <w:rsid w:val="00836755"/>
    <w:rsid w:val="0085162E"/>
    <w:rsid w:val="00861472"/>
    <w:rsid w:val="008630BA"/>
    <w:rsid w:val="00863E37"/>
    <w:rsid w:val="00866385"/>
    <w:rsid w:val="00871F98"/>
    <w:rsid w:val="008724DC"/>
    <w:rsid w:val="008740F9"/>
    <w:rsid w:val="0087482B"/>
    <w:rsid w:val="00876A11"/>
    <w:rsid w:val="00881DF1"/>
    <w:rsid w:val="0088349D"/>
    <w:rsid w:val="0088384D"/>
    <w:rsid w:val="00886579"/>
    <w:rsid w:val="008927CD"/>
    <w:rsid w:val="0089773A"/>
    <w:rsid w:val="008A1AEF"/>
    <w:rsid w:val="008A2B9B"/>
    <w:rsid w:val="008A4827"/>
    <w:rsid w:val="008A670E"/>
    <w:rsid w:val="008B4456"/>
    <w:rsid w:val="008B4C87"/>
    <w:rsid w:val="008B7497"/>
    <w:rsid w:val="008B74FB"/>
    <w:rsid w:val="008B7CD6"/>
    <w:rsid w:val="008D4707"/>
    <w:rsid w:val="008D7E6E"/>
    <w:rsid w:val="008E04E1"/>
    <w:rsid w:val="008E0740"/>
    <w:rsid w:val="008E08AD"/>
    <w:rsid w:val="008E6888"/>
    <w:rsid w:val="008E727D"/>
    <w:rsid w:val="008F066A"/>
    <w:rsid w:val="008F25A2"/>
    <w:rsid w:val="008F2B40"/>
    <w:rsid w:val="008F3930"/>
    <w:rsid w:val="008F76B6"/>
    <w:rsid w:val="00903B86"/>
    <w:rsid w:val="00903D9E"/>
    <w:rsid w:val="009070B8"/>
    <w:rsid w:val="00915F4F"/>
    <w:rsid w:val="009258A0"/>
    <w:rsid w:val="009268F3"/>
    <w:rsid w:val="0093030D"/>
    <w:rsid w:val="00930C66"/>
    <w:rsid w:val="00934719"/>
    <w:rsid w:val="009448B5"/>
    <w:rsid w:val="00944DD7"/>
    <w:rsid w:val="00947872"/>
    <w:rsid w:val="00950054"/>
    <w:rsid w:val="0095251A"/>
    <w:rsid w:val="00956D57"/>
    <w:rsid w:val="00963E23"/>
    <w:rsid w:val="00964176"/>
    <w:rsid w:val="009652F3"/>
    <w:rsid w:val="0097146A"/>
    <w:rsid w:val="00971AAA"/>
    <w:rsid w:val="0097283D"/>
    <w:rsid w:val="00973E0C"/>
    <w:rsid w:val="00973E26"/>
    <w:rsid w:val="00976D87"/>
    <w:rsid w:val="00987225"/>
    <w:rsid w:val="009951FF"/>
    <w:rsid w:val="009A0AEE"/>
    <w:rsid w:val="009A56CF"/>
    <w:rsid w:val="009B0E91"/>
    <w:rsid w:val="009C0AF3"/>
    <w:rsid w:val="009C7C47"/>
    <w:rsid w:val="009D295E"/>
    <w:rsid w:val="009D2AB9"/>
    <w:rsid w:val="009D34F6"/>
    <w:rsid w:val="009D3DD6"/>
    <w:rsid w:val="009D6DCB"/>
    <w:rsid w:val="009D733D"/>
    <w:rsid w:val="009F5BD0"/>
    <w:rsid w:val="009F5FA1"/>
    <w:rsid w:val="009F654A"/>
    <w:rsid w:val="00A02526"/>
    <w:rsid w:val="00A03872"/>
    <w:rsid w:val="00A07454"/>
    <w:rsid w:val="00A146D8"/>
    <w:rsid w:val="00A215C5"/>
    <w:rsid w:val="00A2498A"/>
    <w:rsid w:val="00A25D47"/>
    <w:rsid w:val="00A2771C"/>
    <w:rsid w:val="00A30A84"/>
    <w:rsid w:val="00A3226E"/>
    <w:rsid w:val="00A33E48"/>
    <w:rsid w:val="00A376FD"/>
    <w:rsid w:val="00A40913"/>
    <w:rsid w:val="00A42610"/>
    <w:rsid w:val="00A45956"/>
    <w:rsid w:val="00A46181"/>
    <w:rsid w:val="00A51141"/>
    <w:rsid w:val="00A533CF"/>
    <w:rsid w:val="00A53555"/>
    <w:rsid w:val="00A543B2"/>
    <w:rsid w:val="00A57747"/>
    <w:rsid w:val="00A60151"/>
    <w:rsid w:val="00A63EC6"/>
    <w:rsid w:val="00A64EE7"/>
    <w:rsid w:val="00A7385B"/>
    <w:rsid w:val="00A74150"/>
    <w:rsid w:val="00A82B98"/>
    <w:rsid w:val="00A86C08"/>
    <w:rsid w:val="00A90161"/>
    <w:rsid w:val="00A91126"/>
    <w:rsid w:val="00A928B4"/>
    <w:rsid w:val="00A92C98"/>
    <w:rsid w:val="00A978DF"/>
    <w:rsid w:val="00AB53B3"/>
    <w:rsid w:val="00AC5C07"/>
    <w:rsid w:val="00AD53CF"/>
    <w:rsid w:val="00AD7EE5"/>
    <w:rsid w:val="00AE01E5"/>
    <w:rsid w:val="00AE33A6"/>
    <w:rsid w:val="00AE4026"/>
    <w:rsid w:val="00AE5A6D"/>
    <w:rsid w:val="00AE6ACD"/>
    <w:rsid w:val="00AF479E"/>
    <w:rsid w:val="00AF5739"/>
    <w:rsid w:val="00AF7BF2"/>
    <w:rsid w:val="00B0096A"/>
    <w:rsid w:val="00B04D06"/>
    <w:rsid w:val="00B07124"/>
    <w:rsid w:val="00B12677"/>
    <w:rsid w:val="00B12D85"/>
    <w:rsid w:val="00B1721D"/>
    <w:rsid w:val="00B20B87"/>
    <w:rsid w:val="00B22903"/>
    <w:rsid w:val="00B24425"/>
    <w:rsid w:val="00B25937"/>
    <w:rsid w:val="00B26B84"/>
    <w:rsid w:val="00B373C1"/>
    <w:rsid w:val="00B4034C"/>
    <w:rsid w:val="00B4327F"/>
    <w:rsid w:val="00B5007B"/>
    <w:rsid w:val="00B5307C"/>
    <w:rsid w:val="00B55F80"/>
    <w:rsid w:val="00B57012"/>
    <w:rsid w:val="00B572A4"/>
    <w:rsid w:val="00B607EF"/>
    <w:rsid w:val="00B61908"/>
    <w:rsid w:val="00B62E04"/>
    <w:rsid w:val="00B65BCE"/>
    <w:rsid w:val="00B65D8E"/>
    <w:rsid w:val="00B676F6"/>
    <w:rsid w:val="00B7123B"/>
    <w:rsid w:val="00B712FC"/>
    <w:rsid w:val="00B80DF3"/>
    <w:rsid w:val="00B826E9"/>
    <w:rsid w:val="00B83614"/>
    <w:rsid w:val="00B85C04"/>
    <w:rsid w:val="00B8785C"/>
    <w:rsid w:val="00B91248"/>
    <w:rsid w:val="00B93FDA"/>
    <w:rsid w:val="00B95AE9"/>
    <w:rsid w:val="00BA2C4D"/>
    <w:rsid w:val="00BA3A05"/>
    <w:rsid w:val="00BB10BE"/>
    <w:rsid w:val="00BB1EE5"/>
    <w:rsid w:val="00BB22A9"/>
    <w:rsid w:val="00BB44CA"/>
    <w:rsid w:val="00BC3D4D"/>
    <w:rsid w:val="00BD130D"/>
    <w:rsid w:val="00BD1C2A"/>
    <w:rsid w:val="00BD433F"/>
    <w:rsid w:val="00BD55F4"/>
    <w:rsid w:val="00BD59E3"/>
    <w:rsid w:val="00BE6E55"/>
    <w:rsid w:val="00BF71F4"/>
    <w:rsid w:val="00C00210"/>
    <w:rsid w:val="00C010FE"/>
    <w:rsid w:val="00C01CE8"/>
    <w:rsid w:val="00C01FBC"/>
    <w:rsid w:val="00C04CF8"/>
    <w:rsid w:val="00C06B45"/>
    <w:rsid w:val="00C1078F"/>
    <w:rsid w:val="00C1365A"/>
    <w:rsid w:val="00C1422B"/>
    <w:rsid w:val="00C148F3"/>
    <w:rsid w:val="00C17D1A"/>
    <w:rsid w:val="00C328E1"/>
    <w:rsid w:val="00C42A6B"/>
    <w:rsid w:val="00C529D7"/>
    <w:rsid w:val="00C55305"/>
    <w:rsid w:val="00C60CC1"/>
    <w:rsid w:val="00C85EC8"/>
    <w:rsid w:val="00C94922"/>
    <w:rsid w:val="00C95C8D"/>
    <w:rsid w:val="00C96D10"/>
    <w:rsid w:val="00C97CAD"/>
    <w:rsid w:val="00CA0603"/>
    <w:rsid w:val="00CA0A95"/>
    <w:rsid w:val="00CA28F2"/>
    <w:rsid w:val="00CA42F7"/>
    <w:rsid w:val="00CA69A6"/>
    <w:rsid w:val="00CA6ABE"/>
    <w:rsid w:val="00CA6F96"/>
    <w:rsid w:val="00CA7C39"/>
    <w:rsid w:val="00CA7D67"/>
    <w:rsid w:val="00CB1FD6"/>
    <w:rsid w:val="00CB4C11"/>
    <w:rsid w:val="00CB63A3"/>
    <w:rsid w:val="00CB6C74"/>
    <w:rsid w:val="00CC07CF"/>
    <w:rsid w:val="00CD063C"/>
    <w:rsid w:val="00CE34C7"/>
    <w:rsid w:val="00CF2CAA"/>
    <w:rsid w:val="00D053DF"/>
    <w:rsid w:val="00D05F26"/>
    <w:rsid w:val="00D076B3"/>
    <w:rsid w:val="00D123C3"/>
    <w:rsid w:val="00D125DD"/>
    <w:rsid w:val="00D15096"/>
    <w:rsid w:val="00D2330B"/>
    <w:rsid w:val="00D263DB"/>
    <w:rsid w:val="00D302E0"/>
    <w:rsid w:val="00D33289"/>
    <w:rsid w:val="00D34730"/>
    <w:rsid w:val="00D36D11"/>
    <w:rsid w:val="00D41036"/>
    <w:rsid w:val="00D578BF"/>
    <w:rsid w:val="00D57B52"/>
    <w:rsid w:val="00D62F24"/>
    <w:rsid w:val="00D63314"/>
    <w:rsid w:val="00D762B2"/>
    <w:rsid w:val="00D80F91"/>
    <w:rsid w:val="00D852F9"/>
    <w:rsid w:val="00D87D34"/>
    <w:rsid w:val="00D92CFD"/>
    <w:rsid w:val="00D92F8B"/>
    <w:rsid w:val="00D96535"/>
    <w:rsid w:val="00DA3880"/>
    <w:rsid w:val="00DA5D54"/>
    <w:rsid w:val="00DA6251"/>
    <w:rsid w:val="00DA6FE6"/>
    <w:rsid w:val="00DB2688"/>
    <w:rsid w:val="00DB2719"/>
    <w:rsid w:val="00DB28E1"/>
    <w:rsid w:val="00DC0E17"/>
    <w:rsid w:val="00DC252B"/>
    <w:rsid w:val="00DC4524"/>
    <w:rsid w:val="00DC4C33"/>
    <w:rsid w:val="00DD1CBA"/>
    <w:rsid w:val="00DD33DE"/>
    <w:rsid w:val="00DD73A8"/>
    <w:rsid w:val="00DE5471"/>
    <w:rsid w:val="00DE7D15"/>
    <w:rsid w:val="00DF373B"/>
    <w:rsid w:val="00DF4F5D"/>
    <w:rsid w:val="00E0508D"/>
    <w:rsid w:val="00E12808"/>
    <w:rsid w:val="00E15F68"/>
    <w:rsid w:val="00E16F8C"/>
    <w:rsid w:val="00E36ED9"/>
    <w:rsid w:val="00E37076"/>
    <w:rsid w:val="00E41DAD"/>
    <w:rsid w:val="00E41F9F"/>
    <w:rsid w:val="00E43FBA"/>
    <w:rsid w:val="00E44289"/>
    <w:rsid w:val="00E44887"/>
    <w:rsid w:val="00E467BA"/>
    <w:rsid w:val="00E56753"/>
    <w:rsid w:val="00E5732A"/>
    <w:rsid w:val="00E64601"/>
    <w:rsid w:val="00E6756F"/>
    <w:rsid w:val="00E81F42"/>
    <w:rsid w:val="00E84423"/>
    <w:rsid w:val="00E85BA4"/>
    <w:rsid w:val="00E927EF"/>
    <w:rsid w:val="00E92D2F"/>
    <w:rsid w:val="00E96555"/>
    <w:rsid w:val="00EA3FF9"/>
    <w:rsid w:val="00EA49D1"/>
    <w:rsid w:val="00EA52EA"/>
    <w:rsid w:val="00EA73BF"/>
    <w:rsid w:val="00EB4549"/>
    <w:rsid w:val="00EB6AAE"/>
    <w:rsid w:val="00EC04B1"/>
    <w:rsid w:val="00EC48AD"/>
    <w:rsid w:val="00EC48D0"/>
    <w:rsid w:val="00EC4EB7"/>
    <w:rsid w:val="00ED67EA"/>
    <w:rsid w:val="00EE018E"/>
    <w:rsid w:val="00EE069E"/>
    <w:rsid w:val="00EE0E32"/>
    <w:rsid w:val="00EE5284"/>
    <w:rsid w:val="00EF1979"/>
    <w:rsid w:val="00EF19D0"/>
    <w:rsid w:val="00EF5C37"/>
    <w:rsid w:val="00EF765F"/>
    <w:rsid w:val="00F04CD4"/>
    <w:rsid w:val="00F1564B"/>
    <w:rsid w:val="00F23E5F"/>
    <w:rsid w:val="00F24932"/>
    <w:rsid w:val="00F25EF1"/>
    <w:rsid w:val="00F27720"/>
    <w:rsid w:val="00F332B5"/>
    <w:rsid w:val="00F36849"/>
    <w:rsid w:val="00F406C3"/>
    <w:rsid w:val="00F415E2"/>
    <w:rsid w:val="00F42D87"/>
    <w:rsid w:val="00F43E0B"/>
    <w:rsid w:val="00F54B2F"/>
    <w:rsid w:val="00F56742"/>
    <w:rsid w:val="00F6031F"/>
    <w:rsid w:val="00F61449"/>
    <w:rsid w:val="00F62639"/>
    <w:rsid w:val="00F73325"/>
    <w:rsid w:val="00F74B79"/>
    <w:rsid w:val="00F76F40"/>
    <w:rsid w:val="00F8216C"/>
    <w:rsid w:val="00F90FDB"/>
    <w:rsid w:val="00F92577"/>
    <w:rsid w:val="00F96524"/>
    <w:rsid w:val="00F96C50"/>
    <w:rsid w:val="00F97C17"/>
    <w:rsid w:val="00FA4AC4"/>
    <w:rsid w:val="00FA7569"/>
    <w:rsid w:val="00FB1579"/>
    <w:rsid w:val="00FB75CE"/>
    <w:rsid w:val="00FC2B1C"/>
    <w:rsid w:val="00FC3495"/>
    <w:rsid w:val="00FC4727"/>
    <w:rsid w:val="00FD16C5"/>
    <w:rsid w:val="00FD55E4"/>
    <w:rsid w:val="00FD5D56"/>
    <w:rsid w:val="00FD6263"/>
    <w:rsid w:val="00FD7A2C"/>
    <w:rsid w:val="00FE19EB"/>
    <w:rsid w:val="00FE2121"/>
    <w:rsid w:val="00FE5FD6"/>
    <w:rsid w:val="00FF71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7554E"/>
  <w15:chartTrackingRefBased/>
  <w15:docId w15:val="{D10C3AE8-89CE-443B-9DF8-FCC6ECA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JOURNAL HEADING,First level"/>
    <w:basedOn w:val="Normal"/>
    <w:next w:val="Normal"/>
    <w:link w:val="Heading1Char"/>
    <w:uiPriority w:val="9"/>
    <w:qFormat/>
    <w:rsid w:val="0095251A"/>
    <w:pPr>
      <w:keepNext/>
      <w:keepLines/>
      <w:spacing w:before="480" w:after="0" w:line="480" w:lineRule="auto"/>
      <w:ind w:firstLine="360"/>
      <w:outlineLvl w:val="0"/>
    </w:pPr>
    <w:rPr>
      <w:rFonts w:asciiTheme="majorHAnsi" w:eastAsiaTheme="majorEastAsia" w:hAnsiTheme="majorHAnsi" w:cstheme="majorBidi"/>
      <w:b/>
      <w:bCs/>
      <w:color w:val="2F5496" w:themeColor="accent1" w:themeShade="BF"/>
      <w:sz w:val="28"/>
      <w:szCs w:val="28"/>
      <w:lang w:bidi="en-US"/>
    </w:rPr>
  </w:style>
  <w:style w:type="paragraph" w:styleId="Heading2">
    <w:name w:val="heading 2"/>
    <w:basedOn w:val="Normal"/>
    <w:next w:val="Normal"/>
    <w:link w:val="Heading2Char"/>
    <w:uiPriority w:val="9"/>
    <w:unhideWhenUsed/>
    <w:qFormat/>
    <w:rsid w:val="0095251A"/>
    <w:pPr>
      <w:keepNext/>
      <w:keepLines/>
      <w:spacing w:before="200" w:after="0" w:line="480" w:lineRule="auto"/>
      <w:ind w:firstLine="360"/>
      <w:outlineLvl w:val="1"/>
    </w:pPr>
    <w:rPr>
      <w:rFonts w:asciiTheme="majorHAnsi" w:eastAsiaTheme="majorEastAsia" w:hAnsiTheme="majorHAnsi" w:cstheme="majorBidi"/>
      <w:b/>
      <w:bCs/>
      <w:color w:val="4472C4" w:themeColor="accent1"/>
      <w:sz w:val="26"/>
      <w:szCs w:val="26"/>
      <w:lang w:bidi="en-US"/>
    </w:rPr>
  </w:style>
  <w:style w:type="paragraph" w:styleId="Heading3">
    <w:name w:val="heading 3"/>
    <w:basedOn w:val="Normal"/>
    <w:next w:val="Normal"/>
    <w:link w:val="Heading3Char"/>
    <w:uiPriority w:val="9"/>
    <w:unhideWhenUsed/>
    <w:qFormat/>
    <w:rsid w:val="0095251A"/>
    <w:pPr>
      <w:spacing w:before="320" w:after="0" w:line="360" w:lineRule="auto"/>
      <w:outlineLvl w:val="2"/>
    </w:pPr>
    <w:rPr>
      <w:rFonts w:ascii="Arial" w:eastAsia="Times New Roman" w:hAnsi="Arial" w:cs="Arial"/>
      <w:b/>
      <w:bCs/>
      <w:i/>
      <w:iCs/>
      <w:sz w:val="26"/>
      <w:szCs w:val="26"/>
      <w:lang w:bidi="en-US"/>
    </w:rPr>
  </w:style>
  <w:style w:type="paragraph" w:styleId="Heading4">
    <w:name w:val="heading 4"/>
    <w:basedOn w:val="Normal"/>
    <w:next w:val="Normal"/>
    <w:link w:val="Heading4Char"/>
    <w:uiPriority w:val="9"/>
    <w:unhideWhenUsed/>
    <w:qFormat/>
    <w:rsid w:val="0095251A"/>
    <w:pPr>
      <w:keepNext/>
      <w:keepLines/>
      <w:spacing w:before="200" w:after="0" w:line="480" w:lineRule="auto"/>
      <w:ind w:firstLine="360"/>
      <w:outlineLvl w:val="3"/>
    </w:pPr>
    <w:rPr>
      <w:rFonts w:asciiTheme="majorHAnsi" w:eastAsiaTheme="majorEastAsia" w:hAnsiTheme="majorHAnsi" w:cstheme="majorBidi"/>
      <w:b/>
      <w:bCs/>
      <w:i/>
      <w:iCs/>
      <w:color w:val="4472C4" w:themeColor="accent1"/>
      <w:lang w:bidi="en-US"/>
    </w:rPr>
  </w:style>
  <w:style w:type="paragraph" w:styleId="Heading5">
    <w:name w:val="heading 5"/>
    <w:basedOn w:val="Normal"/>
    <w:link w:val="Heading5Char"/>
    <w:uiPriority w:val="9"/>
    <w:qFormat/>
    <w:rsid w:val="0089773A"/>
    <w:pPr>
      <w:spacing w:before="100" w:beforeAutospacing="1" w:after="100" w:afterAutospacing="1"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C95C8D"/>
    <w:pPr>
      <w:keepNext/>
      <w:keepLines/>
      <w:spacing w:before="200" w:after="40" w:line="240" w:lineRule="auto"/>
      <w:jc w:val="both"/>
      <w:outlineLvl w:val="5"/>
    </w:pPr>
    <w:rPr>
      <w:rFonts w:ascii="Times New Roman" w:eastAsia="Calibri" w:hAnsi="Times New Roman" w:cs="Calibri"/>
      <w:b/>
      <w:sz w:val="20"/>
      <w:szCs w:val="20"/>
      <w:lang w:val="en-GB" w:eastAsia="en-MY"/>
    </w:rPr>
  </w:style>
  <w:style w:type="paragraph" w:styleId="Heading7">
    <w:name w:val="heading 7"/>
    <w:basedOn w:val="Normal"/>
    <w:next w:val="Normal"/>
    <w:link w:val="Heading7Char"/>
    <w:uiPriority w:val="9"/>
    <w:semiHidden/>
    <w:unhideWhenUsed/>
    <w:qFormat/>
    <w:rsid w:val="0071356F"/>
    <w:pPr>
      <w:spacing w:before="240" w:after="60" w:line="276"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EC04B1"/>
    <w:pPr>
      <w:keepNext/>
      <w:keepLines/>
      <w:spacing w:before="200" w:after="0" w:line="360" w:lineRule="auto"/>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unhideWhenUsed/>
    <w:qFormat/>
    <w:rsid w:val="00EC04B1"/>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17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833A3"/>
    <w:rPr>
      <w:color w:val="0563C1" w:themeColor="hyperlink"/>
      <w:u w:val="single"/>
    </w:rPr>
  </w:style>
  <w:style w:type="character" w:customStyle="1" w:styleId="UnresolvedMention1">
    <w:name w:val="Unresolved Mention1"/>
    <w:basedOn w:val="DefaultParagraphFont"/>
    <w:uiPriority w:val="99"/>
    <w:semiHidden/>
    <w:unhideWhenUsed/>
    <w:rsid w:val="003833A3"/>
    <w:rPr>
      <w:color w:val="808080"/>
      <w:shd w:val="clear" w:color="auto" w:fill="E6E6E6"/>
    </w:rPr>
  </w:style>
  <w:style w:type="character" w:customStyle="1" w:styleId="nlmpublisher-name">
    <w:name w:val="nlm_publisher-name"/>
    <w:basedOn w:val="DefaultParagraphFont"/>
    <w:rsid w:val="003833A3"/>
  </w:style>
  <w:style w:type="paragraph" w:styleId="Header">
    <w:name w:val="header"/>
    <w:basedOn w:val="Normal"/>
    <w:link w:val="HeaderChar"/>
    <w:uiPriority w:val="99"/>
    <w:unhideWhenUsed/>
    <w:qFormat/>
    <w:rsid w:val="0011697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11697D"/>
  </w:style>
  <w:style w:type="paragraph" w:styleId="Footer">
    <w:name w:val="footer"/>
    <w:basedOn w:val="Normal"/>
    <w:link w:val="FooterChar"/>
    <w:uiPriority w:val="99"/>
    <w:unhideWhenUsed/>
    <w:qFormat/>
    <w:rsid w:val="0011697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1697D"/>
  </w:style>
  <w:style w:type="character" w:customStyle="1" w:styleId="Heading5Char">
    <w:name w:val="Heading 5 Char"/>
    <w:link w:val="Heading5"/>
    <w:uiPriority w:val="9"/>
    <w:rsid w:val="0011697D"/>
    <w:rPr>
      <w:rFonts w:ascii="Calibri" w:eastAsia="Times New Roman" w:hAnsi="Calibri" w:cs="Times New Roman"/>
      <w:b/>
      <w:bCs/>
      <w:i/>
      <w:iCs/>
      <w:sz w:val="26"/>
      <w:szCs w:val="26"/>
    </w:rPr>
  </w:style>
  <w:style w:type="paragraph" w:styleId="BodyText">
    <w:name w:val="Body Text"/>
    <w:basedOn w:val="Normal"/>
    <w:next w:val="Normal"/>
    <w:link w:val="BodyTextChar"/>
    <w:uiPriority w:val="99"/>
    <w:rsid w:val="008F25A2"/>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F25A2"/>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8F2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F25A2"/>
    <w:rPr>
      <w:rFonts w:ascii="Segoe UI" w:hAnsi="Segoe UI" w:cs="Segoe UI"/>
      <w:sz w:val="18"/>
      <w:szCs w:val="18"/>
    </w:rPr>
  </w:style>
  <w:style w:type="paragraph" w:styleId="FootnoteText">
    <w:name w:val="footnote text"/>
    <w:aliases w:val=" Char,Footnote Text Char Char Char,Footnote Text Char Char Char Char Char Char Char Char Char Char,Footnote Text1,Footnote Text Char Char Char1,Footnote Text2,Footnote Text Char2,Footnote Text32,Footnote Text412,Footnote Text2112,زیرنویس"/>
    <w:basedOn w:val="Normal"/>
    <w:link w:val="FootnoteTextChar"/>
    <w:uiPriority w:val="99"/>
    <w:unhideWhenUsed/>
    <w:qFormat/>
    <w:rsid w:val="00300310"/>
    <w:pPr>
      <w:spacing w:after="0" w:line="240" w:lineRule="auto"/>
    </w:pPr>
    <w:rPr>
      <w:rFonts w:ascii="Cambria" w:eastAsia="MS Mincho" w:hAnsi="Cambria" w:cs="Times New Roman"/>
      <w:sz w:val="24"/>
      <w:szCs w:val="24"/>
      <w:lang w:eastAsia="ja-JP"/>
    </w:rPr>
  </w:style>
  <w:style w:type="character" w:customStyle="1" w:styleId="FootnoteTextChar">
    <w:name w:val="Footnote Text Char"/>
    <w:aliases w:val=" Char Char,Footnote Text Char Char Char Char,Footnote Text Char Char Char Char Char Char Char Char Char Char Char,Footnote Text1 Char,Footnote Text Char Char Char1 Char,Footnote Text2 Char,Footnote Text Char2 Char,Footnote Text32 Char"/>
    <w:basedOn w:val="DefaultParagraphFont"/>
    <w:link w:val="FootnoteText"/>
    <w:uiPriority w:val="99"/>
    <w:rsid w:val="00300310"/>
    <w:rPr>
      <w:rFonts w:ascii="Cambria" w:eastAsia="MS Mincho" w:hAnsi="Cambria" w:cs="Times New Roman"/>
      <w:sz w:val="24"/>
      <w:szCs w:val="24"/>
      <w:lang w:eastAsia="ja-JP"/>
    </w:rPr>
  </w:style>
  <w:style w:type="character" w:styleId="FootnoteReference">
    <w:name w:val="footnote reference"/>
    <w:uiPriority w:val="99"/>
    <w:unhideWhenUsed/>
    <w:qFormat/>
    <w:rsid w:val="00300310"/>
    <w:rPr>
      <w:vertAlign w:val="superscript"/>
    </w:rPr>
  </w:style>
  <w:style w:type="paragraph" w:customStyle="1" w:styleId="11">
    <w:name w:val="Επικεφαλίδα 11"/>
    <w:basedOn w:val="Normal"/>
    <w:uiPriority w:val="1"/>
    <w:qFormat/>
    <w:rsid w:val="00300310"/>
    <w:pPr>
      <w:widowControl w:val="0"/>
      <w:spacing w:after="0" w:line="240" w:lineRule="auto"/>
      <w:ind w:left="360" w:hanging="240"/>
      <w:jc w:val="both"/>
      <w:outlineLvl w:val="1"/>
    </w:pPr>
    <w:rPr>
      <w:rFonts w:ascii="Times New Roman" w:eastAsia="Times New Roman" w:hAnsi="Times New Roman" w:cs="Times New Roman"/>
      <w:b/>
      <w:bCs/>
      <w:sz w:val="24"/>
      <w:szCs w:val="24"/>
    </w:rPr>
  </w:style>
  <w:style w:type="character" w:styleId="Emphasis">
    <w:name w:val="Emphasis"/>
    <w:uiPriority w:val="20"/>
    <w:qFormat/>
    <w:rsid w:val="005D68E3"/>
    <w:rPr>
      <w:i/>
      <w:iCs/>
    </w:rPr>
  </w:style>
  <w:style w:type="paragraph" w:customStyle="1" w:styleId="TTPParagraphothers">
    <w:name w:val="TTP Paragraph (others)"/>
    <w:basedOn w:val="Normal"/>
    <w:uiPriority w:val="99"/>
    <w:rsid w:val="00A63EC6"/>
    <w:pPr>
      <w:autoSpaceDE w:val="0"/>
      <w:autoSpaceDN w:val="0"/>
      <w:spacing w:after="0" w:line="240" w:lineRule="auto"/>
      <w:ind w:firstLine="283"/>
      <w:jc w:val="both"/>
    </w:pPr>
    <w:rPr>
      <w:rFonts w:ascii="Times New Roman" w:eastAsia="Times New Roman" w:hAnsi="Times New Roman" w:cs="Times New Roman"/>
      <w:sz w:val="24"/>
      <w:szCs w:val="24"/>
    </w:rPr>
  </w:style>
  <w:style w:type="paragraph" w:customStyle="1" w:styleId="Els-body-text">
    <w:name w:val="Els-body-text"/>
    <w:rsid w:val="00A63EC6"/>
    <w:pPr>
      <w:spacing w:after="0" w:line="240" w:lineRule="exact"/>
      <w:ind w:firstLine="238"/>
      <w:jc w:val="both"/>
    </w:pPr>
    <w:rPr>
      <w:rFonts w:ascii="Times New Roman" w:eastAsia="SimSun" w:hAnsi="Times New Roman" w:cs="Times New Roman"/>
      <w:sz w:val="20"/>
      <w:szCs w:val="20"/>
    </w:rPr>
  </w:style>
  <w:style w:type="paragraph" w:styleId="NoSpacing">
    <w:name w:val="No Spacing"/>
    <w:aliases w:val="Работы,Normal Table,Affiliations"/>
    <w:link w:val="NoSpacingChar"/>
    <w:uiPriority w:val="1"/>
    <w:qFormat/>
    <w:rsid w:val="00042752"/>
    <w:pPr>
      <w:spacing w:after="0" w:line="240" w:lineRule="auto"/>
    </w:pPr>
    <w:rPr>
      <w:rFonts w:ascii="Calibri" w:eastAsia="Calibri" w:hAnsi="Calibri" w:cs="Arial"/>
    </w:rPr>
  </w:style>
  <w:style w:type="paragraph" w:styleId="NormalWeb">
    <w:name w:val="Normal (Web)"/>
    <w:basedOn w:val="Normal"/>
    <w:uiPriority w:val="99"/>
    <w:unhideWhenUsed/>
    <w:qFormat/>
    <w:rsid w:val="0004275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iPriority w:val="99"/>
    <w:semiHidden/>
    <w:unhideWhenUsed/>
    <w:rsid w:val="00F406C3"/>
    <w:pPr>
      <w:bidi/>
      <w:spacing w:after="200" w:line="276" w:lineRule="auto"/>
    </w:pPr>
    <w:rPr>
      <w:rFonts w:ascii="Calibri" w:eastAsia="Calibri" w:hAnsi="Calibri" w:cs="Times New Roman"/>
      <w:sz w:val="20"/>
      <w:szCs w:val="20"/>
      <w:lang w:val="x-none" w:eastAsia="x-none"/>
    </w:rPr>
  </w:style>
  <w:style w:type="character" w:customStyle="1" w:styleId="EndnoteTextChar">
    <w:name w:val="Endnote Text Char"/>
    <w:basedOn w:val="DefaultParagraphFont"/>
    <w:link w:val="EndnoteText"/>
    <w:uiPriority w:val="99"/>
    <w:semiHidden/>
    <w:rsid w:val="00F406C3"/>
    <w:rPr>
      <w:rFonts w:ascii="Calibri" w:eastAsia="Calibri" w:hAnsi="Calibri" w:cs="Times New Roman"/>
      <w:sz w:val="20"/>
      <w:szCs w:val="20"/>
      <w:lang w:val="x-none" w:eastAsia="x-none"/>
    </w:rPr>
  </w:style>
  <w:style w:type="character" w:styleId="EndnoteReference">
    <w:name w:val="endnote reference"/>
    <w:uiPriority w:val="99"/>
    <w:semiHidden/>
    <w:unhideWhenUsed/>
    <w:rsid w:val="00F406C3"/>
    <w:rPr>
      <w:vertAlign w:val="superscript"/>
    </w:rPr>
  </w:style>
  <w:style w:type="paragraph" w:styleId="ListParagraph">
    <w:name w:val="List Paragraph"/>
    <w:aliases w:val="Bullet Points,Numbered Para 1,Dot pt,No Spacing1,List Paragraph Char Char Char,Indicator Text,List Paragraph1,Bullet 1,MAIN CONTENT,List Paragraph12,F5 List Paragraph,Heading 2_sj,1st level - Bullet List Paragraph,Lettre d'introduction,Ha"/>
    <w:basedOn w:val="Normal"/>
    <w:link w:val="ListParagraphChar"/>
    <w:uiPriority w:val="34"/>
    <w:qFormat/>
    <w:rsid w:val="00F406C3"/>
    <w:pPr>
      <w:bidi/>
      <w:spacing w:after="200" w:line="276" w:lineRule="auto"/>
      <w:ind w:left="720"/>
      <w:contextualSpacing/>
    </w:pPr>
    <w:rPr>
      <w:rFonts w:ascii="Calibri" w:eastAsia="Calibri" w:hAnsi="Calibri" w:cs="Arial"/>
    </w:rPr>
  </w:style>
  <w:style w:type="character" w:customStyle="1" w:styleId="pg-1ff2">
    <w:name w:val="pg-1ff2"/>
    <w:rsid w:val="00F406C3"/>
  </w:style>
  <w:style w:type="character" w:customStyle="1" w:styleId="a">
    <w:name w:val="_"/>
    <w:rsid w:val="00F406C3"/>
  </w:style>
  <w:style w:type="character" w:customStyle="1" w:styleId="pg-1ff1">
    <w:name w:val="pg-1ff1"/>
    <w:rsid w:val="00F406C3"/>
  </w:style>
  <w:style w:type="character" w:customStyle="1" w:styleId="pg-1fc2">
    <w:name w:val="pg-1fc2"/>
    <w:rsid w:val="00F406C3"/>
  </w:style>
  <w:style w:type="character" w:customStyle="1" w:styleId="pg-1fc0">
    <w:name w:val="pg-1fc0"/>
    <w:rsid w:val="00F406C3"/>
  </w:style>
  <w:style w:type="character" w:customStyle="1" w:styleId="apple-converted-space">
    <w:name w:val="apple-converted-space"/>
    <w:qFormat/>
    <w:rsid w:val="00F406C3"/>
  </w:style>
  <w:style w:type="character" w:customStyle="1" w:styleId="CommentTextChar">
    <w:name w:val="Comment Text Char"/>
    <w:link w:val="CommentText"/>
    <w:uiPriority w:val="99"/>
    <w:rsid w:val="00F406C3"/>
  </w:style>
  <w:style w:type="paragraph" w:styleId="CommentText">
    <w:name w:val="annotation text"/>
    <w:basedOn w:val="Normal"/>
    <w:link w:val="CommentTextChar"/>
    <w:uiPriority w:val="99"/>
    <w:unhideWhenUsed/>
    <w:rsid w:val="00F406C3"/>
    <w:pPr>
      <w:bidi/>
      <w:spacing w:after="200" w:line="276" w:lineRule="auto"/>
    </w:pPr>
  </w:style>
  <w:style w:type="character" w:customStyle="1" w:styleId="CommentTextChar1">
    <w:name w:val="Comment Text Char1"/>
    <w:basedOn w:val="DefaultParagraphFont"/>
    <w:uiPriority w:val="99"/>
    <w:semiHidden/>
    <w:rsid w:val="00F406C3"/>
    <w:rPr>
      <w:sz w:val="20"/>
      <w:szCs w:val="20"/>
    </w:rPr>
  </w:style>
  <w:style w:type="character" w:customStyle="1" w:styleId="CommentSubjectChar">
    <w:name w:val="Comment Subject Char"/>
    <w:link w:val="CommentSubject"/>
    <w:uiPriority w:val="99"/>
    <w:semiHidden/>
    <w:rsid w:val="00F406C3"/>
    <w:rPr>
      <w:b/>
      <w:bCs/>
    </w:rPr>
  </w:style>
  <w:style w:type="paragraph" w:styleId="CommentSubject">
    <w:name w:val="annotation subject"/>
    <w:basedOn w:val="CommentText"/>
    <w:next w:val="CommentText"/>
    <w:link w:val="CommentSubjectChar"/>
    <w:uiPriority w:val="99"/>
    <w:semiHidden/>
    <w:unhideWhenUsed/>
    <w:rsid w:val="00F406C3"/>
    <w:rPr>
      <w:b/>
      <w:bCs/>
    </w:rPr>
  </w:style>
  <w:style w:type="character" w:customStyle="1" w:styleId="CommentSubjectChar1">
    <w:name w:val="Comment Subject Char1"/>
    <w:basedOn w:val="CommentTextChar1"/>
    <w:uiPriority w:val="99"/>
    <w:semiHidden/>
    <w:rsid w:val="00F406C3"/>
    <w:rPr>
      <w:b/>
      <w:bCs/>
      <w:sz w:val="20"/>
      <w:szCs w:val="20"/>
    </w:rPr>
  </w:style>
  <w:style w:type="character" w:customStyle="1" w:styleId="BalloonTextChar1">
    <w:name w:val="Balloon Text Char1"/>
    <w:uiPriority w:val="99"/>
    <w:semiHidden/>
    <w:rsid w:val="00F406C3"/>
    <w:rPr>
      <w:rFonts w:ascii="Tahoma" w:hAnsi="Tahoma" w:cs="Tahoma"/>
      <w:sz w:val="16"/>
      <w:szCs w:val="16"/>
    </w:rPr>
  </w:style>
  <w:style w:type="paragraph" w:customStyle="1" w:styleId="yiv5600686552s13">
    <w:name w:val="yiv5600686552s13"/>
    <w:basedOn w:val="Normal"/>
    <w:rsid w:val="00F40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600686552s3">
    <w:name w:val="yiv5600686552s3"/>
    <w:rsid w:val="00F406C3"/>
  </w:style>
  <w:style w:type="paragraph" w:customStyle="1" w:styleId="Default">
    <w:name w:val="Default"/>
    <w:rsid w:val="00F406C3"/>
    <w:pPr>
      <w:autoSpaceDE w:val="0"/>
      <w:autoSpaceDN w:val="0"/>
      <w:adjustRightInd w:val="0"/>
      <w:spacing w:after="0" w:line="240" w:lineRule="auto"/>
    </w:pPr>
    <w:rPr>
      <w:rFonts w:ascii="Arial" w:eastAsia="Calibri" w:hAnsi="Arial" w:cs="Arial"/>
      <w:color w:val="000000"/>
      <w:sz w:val="24"/>
      <w:szCs w:val="24"/>
    </w:rPr>
  </w:style>
  <w:style w:type="paragraph" w:styleId="Caption">
    <w:name w:val="caption"/>
    <w:basedOn w:val="Normal"/>
    <w:next w:val="Normal"/>
    <w:link w:val="CaptionChar"/>
    <w:uiPriority w:val="35"/>
    <w:qFormat/>
    <w:rsid w:val="00F406C3"/>
    <w:pPr>
      <w:keepNext/>
      <w:spacing w:after="200" w:line="480" w:lineRule="auto"/>
    </w:pPr>
    <w:rPr>
      <w:rFonts w:ascii="Times New Roman" w:eastAsia="Times New Roman" w:hAnsi="Times New Roman" w:cs="Times New Roman"/>
      <w:b/>
      <w:bCs/>
    </w:rPr>
  </w:style>
  <w:style w:type="character" w:customStyle="1" w:styleId="Heading1Char">
    <w:name w:val="Heading 1 Char"/>
    <w:aliases w:val="JOURNAL HEADING Char,First level Char"/>
    <w:basedOn w:val="DefaultParagraphFont"/>
    <w:link w:val="Heading1"/>
    <w:uiPriority w:val="9"/>
    <w:rsid w:val="0095251A"/>
    <w:rPr>
      <w:rFonts w:asciiTheme="majorHAnsi" w:eastAsiaTheme="majorEastAsia" w:hAnsiTheme="majorHAnsi" w:cstheme="majorBidi"/>
      <w:b/>
      <w:bCs/>
      <w:color w:val="2F5496" w:themeColor="accent1" w:themeShade="BF"/>
      <w:sz w:val="28"/>
      <w:szCs w:val="28"/>
      <w:lang w:bidi="en-US"/>
    </w:rPr>
  </w:style>
  <w:style w:type="character" w:customStyle="1" w:styleId="Heading2Char">
    <w:name w:val="Heading 2 Char"/>
    <w:basedOn w:val="DefaultParagraphFont"/>
    <w:link w:val="Heading2"/>
    <w:uiPriority w:val="9"/>
    <w:rsid w:val="0095251A"/>
    <w:rPr>
      <w:rFonts w:asciiTheme="majorHAnsi" w:eastAsiaTheme="majorEastAsia" w:hAnsiTheme="majorHAnsi" w:cstheme="majorBidi"/>
      <w:b/>
      <w:bCs/>
      <w:color w:val="4472C4" w:themeColor="accent1"/>
      <w:sz w:val="26"/>
      <w:szCs w:val="26"/>
      <w:lang w:bidi="en-US"/>
    </w:rPr>
  </w:style>
  <w:style w:type="character" w:customStyle="1" w:styleId="Heading3Char">
    <w:name w:val="Heading 3 Char"/>
    <w:basedOn w:val="DefaultParagraphFont"/>
    <w:link w:val="Heading3"/>
    <w:uiPriority w:val="9"/>
    <w:qFormat/>
    <w:rsid w:val="0095251A"/>
    <w:rPr>
      <w:rFonts w:ascii="Arial" w:eastAsia="Times New Roman" w:hAnsi="Arial" w:cs="Arial"/>
      <w:b/>
      <w:bCs/>
      <w:i/>
      <w:iCs/>
      <w:sz w:val="26"/>
      <w:szCs w:val="26"/>
      <w:lang w:bidi="en-US"/>
    </w:rPr>
  </w:style>
  <w:style w:type="character" w:customStyle="1" w:styleId="Heading4Char">
    <w:name w:val="Heading 4 Char"/>
    <w:basedOn w:val="DefaultParagraphFont"/>
    <w:link w:val="Heading4"/>
    <w:uiPriority w:val="9"/>
    <w:rsid w:val="0095251A"/>
    <w:rPr>
      <w:rFonts w:asciiTheme="majorHAnsi" w:eastAsiaTheme="majorEastAsia" w:hAnsiTheme="majorHAnsi" w:cstheme="majorBidi"/>
      <w:b/>
      <w:bCs/>
      <w:i/>
      <w:iCs/>
      <w:color w:val="4472C4" w:themeColor="accent1"/>
      <w:lang w:bidi="en-US"/>
    </w:rPr>
  </w:style>
  <w:style w:type="paragraph" w:customStyle="1" w:styleId="a0">
    <w:name w:val="二级标题"/>
    <w:basedOn w:val="Normal"/>
    <w:link w:val="Char"/>
    <w:qFormat/>
    <w:rsid w:val="0095251A"/>
    <w:pPr>
      <w:keepNext/>
      <w:widowControl w:val="0"/>
      <w:spacing w:after="80" w:line="240" w:lineRule="exact"/>
      <w:jc w:val="both"/>
      <w:outlineLvl w:val="1"/>
    </w:pPr>
    <w:rPr>
      <w:rFonts w:ascii="Times New Roman" w:eastAsia="SimSun" w:hAnsi="Times New Roman" w:cs="Times New Roman"/>
      <w:i/>
      <w:kern w:val="2"/>
      <w:sz w:val="20"/>
      <w:szCs w:val="24"/>
      <w:lang w:eastAsia="zh-CN"/>
    </w:rPr>
  </w:style>
  <w:style w:type="character" w:customStyle="1" w:styleId="Char">
    <w:name w:val="二级标题 Char"/>
    <w:basedOn w:val="DefaultParagraphFont"/>
    <w:link w:val="a0"/>
    <w:rsid w:val="0095251A"/>
    <w:rPr>
      <w:rFonts w:ascii="Times New Roman" w:eastAsia="SimSun" w:hAnsi="Times New Roman" w:cs="Times New Roman"/>
      <w:i/>
      <w:kern w:val="2"/>
      <w:sz w:val="20"/>
      <w:szCs w:val="24"/>
      <w:lang w:eastAsia="zh-CN"/>
    </w:rPr>
  </w:style>
  <w:style w:type="paragraph" w:customStyle="1" w:styleId="a1">
    <w:name w:val="参考文献"/>
    <w:basedOn w:val="Normal"/>
    <w:qFormat/>
    <w:rsid w:val="0095251A"/>
    <w:pPr>
      <w:widowControl w:val="0"/>
      <w:spacing w:after="80" w:line="240" w:lineRule="exact"/>
      <w:ind w:left="400" w:hangingChars="200" w:hanging="400"/>
      <w:jc w:val="both"/>
    </w:pPr>
    <w:rPr>
      <w:rFonts w:ascii="Times New Roman" w:eastAsia="SimSun" w:hAnsi="Times New Roman" w:cs="Times New Roman"/>
      <w:kern w:val="2"/>
      <w:sz w:val="20"/>
      <w:szCs w:val="20"/>
      <w:lang w:eastAsia="zh-CN"/>
    </w:rPr>
  </w:style>
  <w:style w:type="character" w:customStyle="1" w:styleId="NoSpacingChar">
    <w:name w:val="No Spacing Char"/>
    <w:aliases w:val="Работы Char,Normal Table Char,Affiliations Char"/>
    <w:basedOn w:val="DefaultParagraphFont"/>
    <w:link w:val="NoSpacing"/>
    <w:uiPriority w:val="1"/>
    <w:rsid w:val="0095251A"/>
    <w:rPr>
      <w:rFonts w:ascii="Calibri" w:eastAsia="Calibri" w:hAnsi="Calibri" w:cs="Arial"/>
    </w:rPr>
  </w:style>
  <w:style w:type="character" w:customStyle="1" w:styleId="fontstyle01">
    <w:name w:val="fontstyle01"/>
    <w:basedOn w:val="DefaultParagraphFont"/>
    <w:rsid w:val="00342134"/>
    <w:rPr>
      <w:rFonts w:ascii="Georgia" w:hAnsi="Georgia" w:hint="default"/>
      <w:b w:val="0"/>
      <w:bCs w:val="0"/>
      <w:i w:val="0"/>
      <w:iCs w:val="0"/>
      <w:color w:val="242424"/>
      <w:sz w:val="32"/>
      <w:szCs w:val="32"/>
    </w:rPr>
  </w:style>
  <w:style w:type="character" w:customStyle="1" w:styleId="Heading7Char">
    <w:name w:val="Heading 7 Char"/>
    <w:basedOn w:val="DefaultParagraphFont"/>
    <w:link w:val="Heading7"/>
    <w:uiPriority w:val="9"/>
    <w:semiHidden/>
    <w:rsid w:val="0071356F"/>
    <w:rPr>
      <w:rFonts w:ascii="Calibri" w:eastAsia="Times New Roman" w:hAnsi="Calibri" w:cs="Times New Roman"/>
      <w:sz w:val="24"/>
      <w:szCs w:val="24"/>
    </w:rPr>
  </w:style>
  <w:style w:type="paragraph" w:customStyle="1" w:styleId="11Normal02-SecondOnwardParagraph">
    <w:name w:val="11 Normal02-Second&amp;OnwardParagraph"/>
    <w:qFormat/>
    <w:rsid w:val="0071356F"/>
    <w:pPr>
      <w:spacing w:before="400" w:after="400" w:line="360" w:lineRule="auto"/>
      <w:ind w:firstLine="720"/>
      <w:jc w:val="both"/>
    </w:pPr>
    <w:rPr>
      <w:rFonts w:ascii="Times New Roman" w:eastAsia="MS Mincho" w:hAnsi="Times New Roman" w:cs="Arial"/>
      <w:sz w:val="24"/>
      <w:szCs w:val="24"/>
    </w:rPr>
  </w:style>
  <w:style w:type="paragraph" w:customStyle="1" w:styleId="10Normal01-FirstParagraph">
    <w:name w:val="10 Normal01-FirstParagraph"/>
    <w:next w:val="11Normal02-SecondOnwardParagraph"/>
    <w:qFormat/>
    <w:rsid w:val="0071356F"/>
    <w:pPr>
      <w:spacing w:before="400" w:after="400" w:line="360" w:lineRule="auto"/>
      <w:jc w:val="both"/>
    </w:pPr>
    <w:rPr>
      <w:rFonts w:ascii="Times New Roman" w:eastAsia="MS Mincho" w:hAnsi="Times New Roman" w:cs="Times New Roman"/>
      <w:sz w:val="24"/>
      <w:szCs w:val="24"/>
    </w:rPr>
  </w:style>
  <w:style w:type="paragraph" w:customStyle="1" w:styleId="09aLevel01">
    <w:name w:val="09a Level01"/>
    <w:next w:val="09bLevel02"/>
    <w:qFormat/>
    <w:rsid w:val="0071356F"/>
    <w:pPr>
      <w:keepNext/>
      <w:tabs>
        <w:tab w:val="left" w:pos="1276"/>
        <w:tab w:val="left" w:pos="1332"/>
        <w:tab w:val="left" w:pos="1389"/>
        <w:tab w:val="num" w:pos="1418"/>
        <w:tab w:val="left" w:pos="1503"/>
        <w:tab w:val="left" w:pos="1559"/>
      </w:tabs>
      <w:spacing w:before="1320" w:after="760" w:line="360" w:lineRule="auto"/>
      <w:jc w:val="center"/>
      <w:outlineLvl w:val="0"/>
    </w:pPr>
    <w:rPr>
      <w:rFonts w:ascii="Times New Roman" w:eastAsia="Calibri" w:hAnsi="Times New Roman" w:cs="Arial"/>
      <w:b/>
      <w:caps/>
      <w:szCs w:val="20"/>
      <w:lang w:val="ms-MY"/>
    </w:rPr>
  </w:style>
  <w:style w:type="paragraph" w:customStyle="1" w:styleId="09bLevel02">
    <w:name w:val="09b Level02"/>
    <w:next w:val="10Normal01-FirstParagraph"/>
    <w:qFormat/>
    <w:rsid w:val="0071356F"/>
    <w:pPr>
      <w:keepNext/>
      <w:spacing w:before="400" w:after="400" w:line="360" w:lineRule="auto"/>
      <w:ind w:left="720" w:hanging="720"/>
      <w:jc w:val="both"/>
      <w:outlineLvl w:val="1"/>
    </w:pPr>
    <w:rPr>
      <w:rFonts w:ascii="Times New Roman" w:eastAsia="Calibri" w:hAnsi="Times New Roman" w:cs="Arial"/>
      <w:b/>
      <w:caps/>
      <w:lang w:val="ms-MY"/>
    </w:rPr>
  </w:style>
  <w:style w:type="paragraph" w:customStyle="1" w:styleId="09cLevel03">
    <w:name w:val="09c Level03"/>
    <w:next w:val="10Normal01-FirstParagraph"/>
    <w:link w:val="09cLevel03Char"/>
    <w:qFormat/>
    <w:rsid w:val="0071356F"/>
    <w:pPr>
      <w:keepNext/>
      <w:spacing w:before="400" w:after="400" w:line="360" w:lineRule="auto"/>
      <w:ind w:left="720" w:hanging="720"/>
      <w:jc w:val="both"/>
      <w:outlineLvl w:val="2"/>
    </w:pPr>
    <w:rPr>
      <w:rFonts w:ascii="Times New Roman" w:eastAsia="Calibri" w:hAnsi="Times New Roman" w:cs="Arial"/>
      <w:b/>
    </w:rPr>
  </w:style>
  <w:style w:type="paragraph" w:customStyle="1" w:styleId="09dLevel04">
    <w:name w:val="09d Level04"/>
    <w:next w:val="10Normal01-FirstParagraph"/>
    <w:link w:val="09dLevel04Char"/>
    <w:qFormat/>
    <w:rsid w:val="0071356F"/>
    <w:pPr>
      <w:keepNext/>
      <w:spacing w:before="400" w:after="400" w:line="360" w:lineRule="auto"/>
      <w:ind w:left="720" w:hanging="720"/>
      <w:jc w:val="both"/>
      <w:outlineLvl w:val="3"/>
    </w:pPr>
    <w:rPr>
      <w:rFonts w:ascii="Times New Roman" w:eastAsia="Calibri" w:hAnsi="Times New Roman" w:cs="Arial"/>
      <w:b/>
    </w:rPr>
  </w:style>
  <w:style w:type="character" w:customStyle="1" w:styleId="09cLevel03Char">
    <w:name w:val="09c Level03 Char"/>
    <w:link w:val="09cLevel03"/>
    <w:rsid w:val="0071356F"/>
    <w:rPr>
      <w:rFonts w:ascii="Times New Roman" w:eastAsia="Calibri" w:hAnsi="Times New Roman" w:cs="Arial"/>
      <w:b/>
    </w:rPr>
  </w:style>
  <w:style w:type="paragraph" w:customStyle="1" w:styleId="09eLevel05">
    <w:name w:val="09e Level05"/>
    <w:next w:val="10Normal01-FirstParagraph"/>
    <w:qFormat/>
    <w:rsid w:val="0071356F"/>
    <w:pPr>
      <w:keepNext/>
      <w:spacing w:before="400" w:after="400" w:line="360" w:lineRule="auto"/>
      <w:ind w:left="720" w:hanging="720"/>
      <w:jc w:val="both"/>
      <w:outlineLvl w:val="4"/>
    </w:pPr>
    <w:rPr>
      <w:rFonts w:ascii="Times New Roman" w:eastAsia="Calibri" w:hAnsi="Times New Roman" w:cs="Arial"/>
      <w:b/>
    </w:rPr>
  </w:style>
  <w:style w:type="numbering" w:customStyle="1" w:styleId="Mazleha-GayaUKM-Founder">
    <w:name w:val="Mazleha-GayaUKM-Founder"/>
    <w:uiPriority w:val="99"/>
    <w:rsid w:val="0071356F"/>
    <w:pPr>
      <w:numPr>
        <w:numId w:val="1"/>
      </w:numPr>
    </w:pPr>
  </w:style>
  <w:style w:type="character" w:customStyle="1" w:styleId="fontstyle21">
    <w:name w:val="fontstyle21"/>
    <w:rsid w:val="0071356F"/>
    <w:rPr>
      <w:rFonts w:ascii="Palatino-Roman" w:hAnsi="Palatino-Roman" w:hint="default"/>
      <w:b w:val="0"/>
      <w:bCs w:val="0"/>
      <w:i w:val="0"/>
      <w:iCs w:val="0"/>
      <w:color w:val="231F20"/>
      <w:sz w:val="22"/>
      <w:szCs w:val="22"/>
    </w:rPr>
  </w:style>
  <w:style w:type="character" w:styleId="CommentReference">
    <w:name w:val="annotation reference"/>
    <w:uiPriority w:val="99"/>
    <w:unhideWhenUsed/>
    <w:rsid w:val="0071356F"/>
    <w:rPr>
      <w:sz w:val="16"/>
      <w:szCs w:val="16"/>
    </w:rPr>
  </w:style>
  <w:style w:type="paragraph" w:styleId="Bibliography">
    <w:name w:val="Bibliography"/>
    <w:basedOn w:val="Normal"/>
    <w:next w:val="Normal"/>
    <w:uiPriority w:val="37"/>
    <w:unhideWhenUsed/>
    <w:rsid w:val="00A92C98"/>
    <w:rPr>
      <w:rFonts w:eastAsiaTheme="minorEastAsia"/>
      <w:lang w:val="en-GB" w:eastAsia="en-GB"/>
    </w:rPr>
  </w:style>
  <w:style w:type="character" w:styleId="Strong">
    <w:name w:val="Strong"/>
    <w:basedOn w:val="DefaultParagraphFont"/>
    <w:uiPriority w:val="22"/>
    <w:qFormat/>
    <w:rsid w:val="00BC3D4D"/>
    <w:rPr>
      <w:b/>
      <w:bCs/>
    </w:rPr>
  </w:style>
  <w:style w:type="character" w:customStyle="1" w:styleId="fc3">
    <w:name w:val="fc3"/>
    <w:basedOn w:val="DefaultParagraphFont"/>
    <w:rsid w:val="00BC3D4D"/>
  </w:style>
  <w:style w:type="character" w:customStyle="1" w:styleId="ls1c">
    <w:name w:val="ls1c"/>
    <w:basedOn w:val="DefaultParagraphFont"/>
    <w:rsid w:val="00BC3D4D"/>
  </w:style>
  <w:style w:type="character" w:customStyle="1" w:styleId="ls16">
    <w:name w:val="ls16"/>
    <w:basedOn w:val="DefaultParagraphFont"/>
    <w:rsid w:val="00BC3D4D"/>
  </w:style>
  <w:style w:type="character" w:customStyle="1" w:styleId="fc2">
    <w:name w:val="fc2"/>
    <w:basedOn w:val="DefaultParagraphFont"/>
    <w:rsid w:val="00BC3D4D"/>
  </w:style>
  <w:style w:type="character" w:customStyle="1" w:styleId="ws6c">
    <w:name w:val="ws6c"/>
    <w:basedOn w:val="DefaultParagraphFont"/>
    <w:rsid w:val="00BC3D4D"/>
  </w:style>
  <w:style w:type="character" w:customStyle="1" w:styleId="ref-title">
    <w:name w:val="ref-title"/>
    <w:basedOn w:val="DefaultParagraphFont"/>
    <w:rsid w:val="00BC3D4D"/>
  </w:style>
  <w:style w:type="character" w:customStyle="1" w:styleId="ref-vol">
    <w:name w:val="ref-vol"/>
    <w:basedOn w:val="DefaultParagraphFont"/>
    <w:rsid w:val="00BC3D4D"/>
  </w:style>
  <w:style w:type="character" w:customStyle="1" w:styleId="citationref">
    <w:name w:val="citationref"/>
    <w:basedOn w:val="DefaultParagraphFont"/>
    <w:rsid w:val="00BC3D4D"/>
  </w:style>
  <w:style w:type="character" w:customStyle="1" w:styleId="ff5">
    <w:name w:val="ff5"/>
    <w:basedOn w:val="DefaultParagraphFont"/>
    <w:rsid w:val="00BC3D4D"/>
  </w:style>
  <w:style w:type="character" w:customStyle="1" w:styleId="ff9">
    <w:name w:val="ff9"/>
    <w:basedOn w:val="DefaultParagraphFont"/>
    <w:rsid w:val="00BC3D4D"/>
  </w:style>
  <w:style w:type="character" w:customStyle="1" w:styleId="ls2">
    <w:name w:val="ls2"/>
    <w:basedOn w:val="DefaultParagraphFont"/>
    <w:rsid w:val="00BC3D4D"/>
  </w:style>
  <w:style w:type="paragraph" w:styleId="Revision">
    <w:name w:val="Revision"/>
    <w:hidden/>
    <w:uiPriority w:val="99"/>
    <w:semiHidden/>
    <w:rsid w:val="00BC3D4D"/>
    <w:pPr>
      <w:spacing w:after="0" w:line="240" w:lineRule="auto"/>
    </w:pPr>
  </w:style>
  <w:style w:type="table" w:customStyle="1" w:styleId="ListTable6Colorful2">
    <w:name w:val="List Table 6 Colorful2"/>
    <w:basedOn w:val="TableNormal"/>
    <w:next w:val="ListTable6Colorful1"/>
    <w:uiPriority w:val="51"/>
    <w:rsid w:val="00BC3D4D"/>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BC3D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BC3D4D"/>
    <w:pPr>
      <w:spacing w:after="0" w:line="240" w:lineRule="auto"/>
    </w:pPr>
    <w:rPr>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ighwire-cite-metadata-papdate">
    <w:name w:val="highwire-cite-metadata-papdate"/>
    <w:basedOn w:val="DefaultParagraphFont"/>
    <w:rsid w:val="00BC3D4D"/>
  </w:style>
  <w:style w:type="character" w:customStyle="1" w:styleId="highwire-cite-metadata-doi">
    <w:name w:val="highwire-cite-metadata-doi"/>
    <w:basedOn w:val="DefaultParagraphFont"/>
    <w:rsid w:val="00BC3D4D"/>
  </w:style>
  <w:style w:type="table" w:customStyle="1" w:styleId="PlainTable41">
    <w:name w:val="Plain Table 41"/>
    <w:basedOn w:val="TableNormal"/>
    <w:uiPriority w:val="44"/>
    <w:rsid w:val="00CA28F2"/>
    <w:pPr>
      <w:spacing w:after="0" w:line="240" w:lineRule="auto"/>
    </w:pPr>
    <w:rPr>
      <w:lang w:val="en-MY"/>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CA28F2"/>
  </w:style>
  <w:style w:type="character" w:customStyle="1" w:styleId="09dLevel04Char">
    <w:name w:val="09d Level04 Char"/>
    <w:link w:val="09dLevel04"/>
    <w:rsid w:val="00CA28F2"/>
    <w:rPr>
      <w:rFonts w:ascii="Times New Roman" w:eastAsia="Calibri" w:hAnsi="Times New Roman" w:cs="Arial"/>
      <w:b/>
    </w:rPr>
  </w:style>
  <w:style w:type="numbering" w:customStyle="1" w:styleId="Mazleha-UKM-Melayu">
    <w:name w:val="Mazleha-UKM-Melayu"/>
    <w:uiPriority w:val="99"/>
    <w:rsid w:val="00CA28F2"/>
    <w:pPr>
      <w:numPr>
        <w:numId w:val="2"/>
      </w:numPr>
    </w:pPr>
  </w:style>
  <w:style w:type="paragraph" w:customStyle="1" w:styleId="24bRujukan-Teks">
    <w:name w:val="24b Rujukan-Teks"/>
    <w:qFormat/>
    <w:rsid w:val="00CA28F2"/>
    <w:pPr>
      <w:spacing w:after="240" w:line="240" w:lineRule="auto"/>
      <w:ind w:left="720" w:hanging="720"/>
      <w:jc w:val="both"/>
    </w:pPr>
    <w:rPr>
      <w:rFonts w:ascii="Times New Roman" w:eastAsia="MS Mincho" w:hAnsi="Times New Roman" w:cs="Times New Roman"/>
      <w:sz w:val="24"/>
      <w:szCs w:val="24"/>
    </w:rPr>
  </w:style>
  <w:style w:type="character" w:styleId="FollowedHyperlink">
    <w:name w:val="FollowedHyperlink"/>
    <w:basedOn w:val="DefaultParagraphFont"/>
    <w:uiPriority w:val="99"/>
    <w:unhideWhenUsed/>
    <w:qFormat/>
    <w:rsid w:val="00141192"/>
    <w:rPr>
      <w:color w:val="954F72" w:themeColor="followedHyperlink"/>
      <w:u w:val="single"/>
    </w:rPr>
  </w:style>
  <w:style w:type="paragraph" w:customStyle="1" w:styleId="msonormal0">
    <w:name w:val="msonormal"/>
    <w:basedOn w:val="Normal"/>
    <w:rsid w:val="0014119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CA69A6"/>
    <w:rPr>
      <w:color w:val="605E5C"/>
      <w:shd w:val="clear" w:color="auto" w:fill="E1DFDD"/>
    </w:rPr>
  </w:style>
  <w:style w:type="paragraph" w:customStyle="1" w:styleId="EndNoteBibliographyTitle">
    <w:name w:val="EndNote Bibliography Title"/>
    <w:basedOn w:val="Normal"/>
    <w:link w:val="EndNoteBibliographyTitleChar"/>
    <w:rsid w:val="004D77F0"/>
    <w:pPr>
      <w:spacing w:after="0" w:line="276" w:lineRule="auto"/>
      <w:jc w:val="center"/>
    </w:pPr>
    <w:rPr>
      <w:rFonts w:ascii="Calibri" w:eastAsiaTheme="minorEastAsia" w:hAnsi="Calibri" w:cs="Calibri"/>
      <w:noProof/>
      <w:lang w:eastAsia="en-GB"/>
    </w:rPr>
  </w:style>
  <w:style w:type="character" w:customStyle="1" w:styleId="EndNoteBibliographyTitleChar">
    <w:name w:val="EndNote Bibliography Title Char"/>
    <w:basedOn w:val="DefaultParagraphFont"/>
    <w:link w:val="EndNoteBibliographyTitle"/>
    <w:qFormat/>
    <w:rsid w:val="004D77F0"/>
    <w:rPr>
      <w:rFonts w:ascii="Calibri" w:eastAsiaTheme="minorEastAsia" w:hAnsi="Calibri" w:cs="Calibri"/>
      <w:noProof/>
      <w:lang w:eastAsia="en-GB"/>
    </w:rPr>
  </w:style>
  <w:style w:type="paragraph" w:customStyle="1" w:styleId="EndNoteBibliography">
    <w:name w:val="EndNote Bibliography"/>
    <w:basedOn w:val="Normal"/>
    <w:link w:val="EndNoteBibliographyChar"/>
    <w:qFormat/>
    <w:rsid w:val="004D77F0"/>
    <w:pPr>
      <w:spacing w:after="200" w:line="240" w:lineRule="auto"/>
      <w:jc w:val="both"/>
    </w:pPr>
    <w:rPr>
      <w:rFonts w:ascii="Calibri" w:eastAsiaTheme="minorEastAsia" w:hAnsi="Calibri" w:cs="Calibri"/>
      <w:noProof/>
      <w:lang w:eastAsia="en-GB"/>
    </w:rPr>
  </w:style>
  <w:style w:type="character" w:customStyle="1" w:styleId="EndNoteBibliographyChar">
    <w:name w:val="EndNote Bibliography Char"/>
    <w:basedOn w:val="DefaultParagraphFont"/>
    <w:link w:val="EndNoteBibliography"/>
    <w:rsid w:val="004D77F0"/>
    <w:rPr>
      <w:rFonts w:ascii="Calibri" w:eastAsiaTheme="minorEastAsia" w:hAnsi="Calibri" w:cs="Calibri"/>
      <w:noProof/>
      <w:lang w:eastAsia="en-GB"/>
    </w:rPr>
  </w:style>
  <w:style w:type="character" w:customStyle="1" w:styleId="ListParagraphChar">
    <w:name w:val="List Paragraph Char"/>
    <w:aliases w:val="Bullet Points Char,Numbered Para 1 Char,Dot pt Char,No Spacing1 Char,List Paragraph Char Char Char Char,Indicator Text Char,List Paragraph1 Char,Bullet 1 Char,MAIN CONTENT Char,List Paragraph12 Char,F5 List Paragraph Char,Ha Char"/>
    <w:link w:val="ListParagraph"/>
    <w:uiPriority w:val="34"/>
    <w:qFormat/>
    <w:rsid w:val="00E15F68"/>
    <w:rPr>
      <w:rFonts w:ascii="Calibri" w:eastAsia="Calibri" w:hAnsi="Calibri" w:cs="Arial"/>
    </w:rPr>
  </w:style>
  <w:style w:type="character" w:customStyle="1" w:styleId="hps">
    <w:name w:val="hps"/>
    <w:rsid w:val="00E15F68"/>
    <w:rPr>
      <w:rFonts w:cs="Times New Roman"/>
    </w:rPr>
  </w:style>
  <w:style w:type="paragraph" w:customStyle="1" w:styleId="ecxmsonormal">
    <w:name w:val="ecxmsonormal"/>
    <w:basedOn w:val="Normal"/>
    <w:rsid w:val="00E15F68"/>
    <w:pPr>
      <w:spacing w:after="324"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E15F68"/>
  </w:style>
  <w:style w:type="paragraph" w:customStyle="1" w:styleId="tez">
    <w:name w:val="tez"/>
    <w:basedOn w:val="Normal"/>
    <w:link w:val="tezChar"/>
    <w:qFormat/>
    <w:rsid w:val="00E15F68"/>
    <w:pPr>
      <w:bidi/>
      <w:spacing w:after="200" w:line="360" w:lineRule="auto"/>
      <w:ind w:right="851"/>
      <w:jc w:val="right"/>
    </w:pPr>
    <w:rPr>
      <w:rFonts w:ascii="Times New Roman" w:eastAsia="Calibri" w:hAnsi="Times New Roman" w:cs="Times New Roman"/>
      <w:bCs/>
      <w:color w:val="000000"/>
      <w:sz w:val="24"/>
      <w:szCs w:val="24"/>
      <w:lang w:bidi="ar-JO"/>
    </w:rPr>
  </w:style>
  <w:style w:type="character" w:customStyle="1" w:styleId="tezChar">
    <w:name w:val="tez Char"/>
    <w:basedOn w:val="DefaultParagraphFont"/>
    <w:link w:val="tez"/>
    <w:rsid w:val="00E15F68"/>
    <w:rPr>
      <w:rFonts w:ascii="Times New Roman" w:eastAsia="Calibri" w:hAnsi="Times New Roman" w:cs="Times New Roman"/>
      <w:bCs/>
      <w:color w:val="000000"/>
      <w:sz w:val="24"/>
      <w:szCs w:val="24"/>
      <w:lang w:bidi="ar-JO"/>
    </w:rPr>
  </w:style>
  <w:style w:type="character" w:customStyle="1" w:styleId="tm-p-em">
    <w:name w:val="tm-p-em"/>
    <w:basedOn w:val="DefaultParagraphFont"/>
    <w:rsid w:val="00E15F68"/>
  </w:style>
  <w:style w:type="character" w:customStyle="1" w:styleId="tm-p-">
    <w:name w:val="tm-p-"/>
    <w:basedOn w:val="DefaultParagraphFont"/>
    <w:rsid w:val="00E15F68"/>
  </w:style>
  <w:style w:type="character" w:customStyle="1" w:styleId="longtext">
    <w:name w:val="long_text"/>
    <w:basedOn w:val="DefaultParagraphFont"/>
    <w:rsid w:val="00E15F68"/>
  </w:style>
  <w:style w:type="character" w:customStyle="1" w:styleId="ff3">
    <w:name w:val="ff3"/>
    <w:basedOn w:val="DefaultParagraphFont"/>
    <w:rsid w:val="00E15F68"/>
  </w:style>
  <w:style w:type="character" w:customStyle="1" w:styleId="ls19">
    <w:name w:val="ls19"/>
    <w:basedOn w:val="DefaultParagraphFont"/>
    <w:rsid w:val="00E15F68"/>
  </w:style>
  <w:style w:type="character" w:customStyle="1" w:styleId="fs2">
    <w:name w:val="fs2"/>
    <w:basedOn w:val="DefaultParagraphFont"/>
    <w:rsid w:val="00E15F68"/>
  </w:style>
  <w:style w:type="character" w:customStyle="1" w:styleId="ls11">
    <w:name w:val="ls11"/>
    <w:basedOn w:val="DefaultParagraphFont"/>
    <w:rsid w:val="00E15F68"/>
  </w:style>
  <w:style w:type="character" w:customStyle="1" w:styleId="lsc">
    <w:name w:val="lsc"/>
    <w:basedOn w:val="DefaultParagraphFont"/>
    <w:rsid w:val="00E15F68"/>
  </w:style>
  <w:style w:type="character" w:customStyle="1" w:styleId="ls1b">
    <w:name w:val="ls1b"/>
    <w:basedOn w:val="DefaultParagraphFont"/>
    <w:rsid w:val="00E15F68"/>
  </w:style>
  <w:style w:type="character" w:customStyle="1" w:styleId="ls1a">
    <w:name w:val="ls1a"/>
    <w:basedOn w:val="DefaultParagraphFont"/>
    <w:rsid w:val="00E15F68"/>
  </w:style>
  <w:style w:type="character" w:customStyle="1" w:styleId="ls7">
    <w:name w:val="ls7"/>
    <w:basedOn w:val="DefaultParagraphFont"/>
    <w:rsid w:val="00E15F68"/>
  </w:style>
  <w:style w:type="character" w:customStyle="1" w:styleId="ls4">
    <w:name w:val="ls4"/>
    <w:basedOn w:val="DefaultParagraphFont"/>
    <w:rsid w:val="00E15F68"/>
  </w:style>
  <w:style w:type="character" w:customStyle="1" w:styleId="ls14">
    <w:name w:val="ls14"/>
    <w:basedOn w:val="DefaultParagraphFont"/>
    <w:rsid w:val="00E15F68"/>
  </w:style>
  <w:style w:type="character" w:customStyle="1" w:styleId="ls6">
    <w:name w:val="ls6"/>
    <w:basedOn w:val="DefaultParagraphFont"/>
    <w:rsid w:val="00E15F68"/>
  </w:style>
  <w:style w:type="character" w:customStyle="1" w:styleId="ls9">
    <w:name w:val="ls9"/>
    <w:basedOn w:val="DefaultParagraphFont"/>
    <w:rsid w:val="00E15F68"/>
  </w:style>
  <w:style w:type="character" w:customStyle="1" w:styleId="ff1">
    <w:name w:val="ff1"/>
    <w:basedOn w:val="DefaultParagraphFont"/>
    <w:rsid w:val="00E15F68"/>
  </w:style>
  <w:style w:type="character" w:customStyle="1" w:styleId="ls17">
    <w:name w:val="ls17"/>
    <w:basedOn w:val="DefaultParagraphFont"/>
    <w:rsid w:val="00E15F68"/>
  </w:style>
  <w:style w:type="character" w:customStyle="1" w:styleId="ls5">
    <w:name w:val="ls5"/>
    <w:basedOn w:val="DefaultParagraphFont"/>
    <w:rsid w:val="00E15F68"/>
  </w:style>
  <w:style w:type="character" w:customStyle="1" w:styleId="ls32">
    <w:name w:val="ls32"/>
    <w:basedOn w:val="DefaultParagraphFont"/>
    <w:rsid w:val="00E15F68"/>
  </w:style>
  <w:style w:type="paragraph" w:customStyle="1" w:styleId="MDPI41tablecaption">
    <w:name w:val="MDPI_4.1_table_caption"/>
    <w:basedOn w:val="Normal"/>
    <w:qFormat/>
    <w:rsid w:val="00E15F68"/>
    <w:pPr>
      <w:adjustRightInd w:val="0"/>
      <w:snapToGrid w:val="0"/>
      <w:spacing w:before="240" w:after="120" w:line="260" w:lineRule="atLeast"/>
      <w:ind w:left="425" w:right="425"/>
      <w:jc w:val="both"/>
    </w:pPr>
    <w:rPr>
      <w:rFonts w:ascii="Palatino Linotype" w:eastAsia="Times New Roman" w:hAnsi="Palatino Linotype" w:cs="Arial"/>
      <w:color w:val="000000"/>
      <w:sz w:val="18"/>
      <w:lang w:eastAsia="de-DE" w:bidi="en-US"/>
    </w:rPr>
  </w:style>
  <w:style w:type="paragraph" w:customStyle="1" w:styleId="MDPI42tablebody">
    <w:name w:val="MDPI_4.2_table_body"/>
    <w:qFormat/>
    <w:rsid w:val="00E15F68"/>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31text">
    <w:name w:val="MDPI_3.1_text"/>
    <w:qFormat/>
    <w:rsid w:val="00E15F68"/>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character" w:customStyle="1" w:styleId="tgc">
    <w:name w:val="_tgc"/>
    <w:rsid w:val="00E15F68"/>
    <w:rPr>
      <w:rFonts w:cs="Times New Roman"/>
    </w:rPr>
  </w:style>
  <w:style w:type="paragraph" w:customStyle="1" w:styleId="References">
    <w:name w:val="References"/>
    <w:basedOn w:val="Normal"/>
    <w:qFormat/>
    <w:rsid w:val="00E15F68"/>
    <w:pPr>
      <w:spacing w:before="120" w:after="0" w:line="360" w:lineRule="auto"/>
      <w:ind w:left="720" w:hanging="720"/>
      <w:contextualSpacing/>
    </w:pPr>
    <w:rPr>
      <w:rFonts w:ascii="Palatino Linotype" w:eastAsia="Calibri" w:hAnsi="Palatino Linotype" w:cs="Times New Roman"/>
      <w:sz w:val="20"/>
      <w:szCs w:val="24"/>
      <w:lang w:val="en-GB" w:eastAsia="en-GB"/>
    </w:rPr>
  </w:style>
  <w:style w:type="character" w:customStyle="1" w:styleId="grame">
    <w:name w:val="grame"/>
    <w:basedOn w:val="DefaultParagraphFont"/>
    <w:rsid w:val="00E15F68"/>
  </w:style>
  <w:style w:type="character" w:customStyle="1" w:styleId="title6">
    <w:name w:val="title6"/>
    <w:rsid w:val="00E15F68"/>
    <w:rPr>
      <w:rFonts w:cs="Times New Roman"/>
    </w:rPr>
  </w:style>
  <w:style w:type="paragraph" w:customStyle="1" w:styleId="0heading1">
    <w:name w:val="0_heading1"/>
    <w:basedOn w:val="Heading1"/>
    <w:next w:val="Normal"/>
    <w:rsid w:val="00E15F68"/>
    <w:pPr>
      <w:numPr>
        <w:numId w:val="3"/>
      </w:numPr>
      <w:tabs>
        <w:tab w:val="clear" w:pos="567"/>
        <w:tab w:val="num" w:pos="360"/>
      </w:tabs>
      <w:suppressAutoHyphens/>
      <w:overflowPunct w:val="0"/>
      <w:autoSpaceDE w:val="0"/>
      <w:autoSpaceDN w:val="0"/>
      <w:adjustRightInd w:val="0"/>
      <w:spacing w:before="360" w:after="240" w:line="300" w:lineRule="atLeast"/>
      <w:ind w:left="0" w:firstLine="227"/>
      <w:textAlignment w:val="baseline"/>
    </w:pPr>
    <w:rPr>
      <w:rFonts w:ascii="Times New Roman" w:eastAsia="Times New Roman" w:hAnsi="Times New Roman" w:cs="Times New Roman"/>
      <w:color w:val="auto"/>
      <w:sz w:val="24"/>
      <w:szCs w:val="20"/>
      <w:lang w:eastAsia="de-DE" w:bidi="ar-SA"/>
    </w:rPr>
  </w:style>
  <w:style w:type="paragraph" w:customStyle="1" w:styleId="0heading2">
    <w:name w:val="0_heading2"/>
    <w:basedOn w:val="Heading2"/>
    <w:next w:val="Normal"/>
    <w:rsid w:val="00E15F68"/>
    <w:pPr>
      <w:numPr>
        <w:ilvl w:val="1"/>
        <w:numId w:val="3"/>
      </w:numPr>
      <w:tabs>
        <w:tab w:val="clear" w:pos="567"/>
        <w:tab w:val="num" w:pos="360"/>
      </w:tabs>
      <w:suppressAutoHyphens/>
      <w:overflowPunct w:val="0"/>
      <w:autoSpaceDE w:val="0"/>
      <w:autoSpaceDN w:val="0"/>
      <w:adjustRightInd w:val="0"/>
      <w:spacing w:before="360" w:after="160" w:line="240" w:lineRule="atLeast"/>
      <w:ind w:left="0" w:firstLine="227"/>
      <w:jc w:val="both"/>
      <w:textAlignment w:val="baseline"/>
    </w:pPr>
    <w:rPr>
      <w:rFonts w:ascii="Times New Roman" w:eastAsia="Times New Roman" w:hAnsi="Times New Roman" w:cs="Times New Roman"/>
      <w:iCs/>
      <w:color w:val="auto"/>
      <w:sz w:val="20"/>
      <w:szCs w:val="20"/>
      <w:lang w:eastAsia="de-DE" w:bidi="ar-SA"/>
    </w:rPr>
  </w:style>
  <w:style w:type="table" w:styleId="PlainTable2">
    <w:name w:val="Plain Table 2"/>
    <w:basedOn w:val="TableNormal"/>
    <w:uiPriority w:val="42"/>
    <w:rsid w:val="005016DE"/>
    <w:pPr>
      <w:spacing w:after="0" w:line="240" w:lineRule="auto"/>
    </w:pPr>
    <w:rPr>
      <w:rFonts w:ascii="Calibri" w:eastAsia="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5016DE"/>
    <w:pPr>
      <w:spacing w:after="0" w:line="240" w:lineRule="auto"/>
    </w:pPr>
    <w:rPr>
      <w:rFonts w:ascii="Calibri" w:eastAsia="Calibri" w:hAnsi="Calibri" w:cs="Arial"/>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5016DE"/>
    <w:pPr>
      <w:spacing w:after="0" w:line="240" w:lineRule="auto"/>
    </w:pPr>
    <w:rPr>
      <w:rFonts w:ascii="Calibri" w:eastAsia="Calibri" w:hAnsi="Calibri" w:cs="Arial"/>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59"/>
    <w:rsid w:val="00501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F24932"/>
    <w:pPr>
      <w:spacing w:line="251" w:lineRule="atLeast"/>
    </w:pPr>
    <w:rPr>
      <w:rFonts w:ascii="NewtonC" w:eastAsiaTheme="minorHAnsi" w:hAnsi="NewtonC" w:cstheme="minorBidi"/>
      <w:color w:val="auto"/>
    </w:rPr>
  </w:style>
  <w:style w:type="paragraph" w:customStyle="1" w:styleId="Pa5">
    <w:name w:val="Pa5"/>
    <w:basedOn w:val="Default"/>
    <w:next w:val="Default"/>
    <w:uiPriority w:val="99"/>
    <w:rsid w:val="00F24932"/>
    <w:pPr>
      <w:spacing w:line="211" w:lineRule="atLeast"/>
    </w:pPr>
    <w:rPr>
      <w:rFonts w:ascii="NewtonC" w:eastAsiaTheme="minorHAnsi" w:hAnsi="NewtonC" w:cstheme="minorBidi"/>
      <w:color w:val="auto"/>
    </w:rPr>
  </w:style>
  <w:style w:type="character" w:customStyle="1" w:styleId="UnresolvedMention2">
    <w:name w:val="Unresolved Mention2"/>
    <w:basedOn w:val="DefaultParagraphFont"/>
    <w:uiPriority w:val="99"/>
    <w:semiHidden/>
    <w:unhideWhenUsed/>
    <w:rsid w:val="00F24932"/>
    <w:rPr>
      <w:color w:val="605E5C"/>
      <w:shd w:val="clear" w:color="auto" w:fill="E1DFDD"/>
    </w:rPr>
  </w:style>
  <w:style w:type="character" w:customStyle="1" w:styleId="Heading5Char1">
    <w:name w:val="Heading 5 Char1"/>
    <w:basedOn w:val="DefaultParagraphFont"/>
    <w:uiPriority w:val="9"/>
    <w:semiHidden/>
    <w:rsid w:val="0089773A"/>
    <w:rPr>
      <w:rFonts w:asciiTheme="majorHAnsi" w:eastAsiaTheme="majorEastAsia" w:hAnsiTheme="majorHAnsi" w:cstheme="majorBidi"/>
      <w:color w:val="2F5496" w:themeColor="accent1" w:themeShade="BF"/>
    </w:rPr>
  </w:style>
  <w:style w:type="paragraph" w:styleId="BodyText2">
    <w:name w:val="Body Text 2"/>
    <w:basedOn w:val="Normal"/>
    <w:link w:val="BodyText2Char"/>
    <w:uiPriority w:val="99"/>
    <w:unhideWhenUsed/>
    <w:rsid w:val="0089773A"/>
    <w:pPr>
      <w:spacing w:after="120" w:line="480" w:lineRule="auto"/>
      <w:ind w:firstLine="720"/>
      <w:jc w:val="both"/>
    </w:pPr>
    <w:rPr>
      <w:rFonts w:ascii="Calibri" w:eastAsia="Calibri" w:hAnsi="Calibri" w:cs="Times New Roman"/>
      <w:lang w:val="en-GB"/>
    </w:rPr>
  </w:style>
  <w:style w:type="character" w:customStyle="1" w:styleId="BodyText2Char">
    <w:name w:val="Body Text 2 Char"/>
    <w:basedOn w:val="DefaultParagraphFont"/>
    <w:link w:val="BodyText2"/>
    <w:uiPriority w:val="99"/>
    <w:rsid w:val="0089773A"/>
    <w:rPr>
      <w:rFonts w:ascii="Calibri" w:eastAsia="Calibri" w:hAnsi="Calibri" w:cs="Times New Roman"/>
      <w:lang w:val="en-GB"/>
    </w:rPr>
  </w:style>
  <w:style w:type="character" w:customStyle="1" w:styleId="noprint">
    <w:name w:val="noprint"/>
    <w:basedOn w:val="DefaultParagraphFont"/>
    <w:rsid w:val="0089773A"/>
  </w:style>
  <w:style w:type="character" w:customStyle="1" w:styleId="toctoggle">
    <w:name w:val="toctoggle"/>
    <w:basedOn w:val="DefaultParagraphFont"/>
    <w:rsid w:val="0089773A"/>
  </w:style>
  <w:style w:type="character" w:customStyle="1" w:styleId="tocnumber">
    <w:name w:val="tocnumber"/>
    <w:basedOn w:val="DefaultParagraphFont"/>
    <w:rsid w:val="0089773A"/>
  </w:style>
  <w:style w:type="character" w:customStyle="1" w:styleId="toctext">
    <w:name w:val="toctext"/>
    <w:basedOn w:val="DefaultParagraphFont"/>
    <w:rsid w:val="0089773A"/>
  </w:style>
  <w:style w:type="character" w:customStyle="1" w:styleId="editsection">
    <w:name w:val="editsection"/>
    <w:basedOn w:val="DefaultParagraphFont"/>
    <w:rsid w:val="0089773A"/>
  </w:style>
  <w:style w:type="character" w:customStyle="1" w:styleId="mw-headline">
    <w:name w:val="mw-headline"/>
    <w:basedOn w:val="DefaultParagraphFont"/>
    <w:rsid w:val="0089773A"/>
  </w:style>
  <w:style w:type="character" w:customStyle="1" w:styleId="metadata">
    <w:name w:val="metadata"/>
    <w:basedOn w:val="DefaultParagraphFont"/>
    <w:rsid w:val="0089773A"/>
  </w:style>
  <w:style w:type="character" w:customStyle="1" w:styleId="texhtml">
    <w:name w:val="texhtml"/>
    <w:basedOn w:val="DefaultParagraphFont"/>
    <w:rsid w:val="0089773A"/>
  </w:style>
  <w:style w:type="character" w:customStyle="1" w:styleId="citation">
    <w:name w:val="citation"/>
    <w:basedOn w:val="DefaultParagraphFont"/>
    <w:rsid w:val="0089773A"/>
  </w:style>
  <w:style w:type="character" w:customStyle="1" w:styleId="z3988">
    <w:name w:val="z3988"/>
    <w:basedOn w:val="DefaultParagraphFont"/>
    <w:rsid w:val="0089773A"/>
  </w:style>
  <w:style w:type="character" w:customStyle="1" w:styleId="reference-accessdate">
    <w:name w:val="reference-accessdate"/>
    <w:basedOn w:val="DefaultParagraphFont"/>
    <w:rsid w:val="0089773A"/>
  </w:style>
  <w:style w:type="character" w:customStyle="1" w:styleId="z-TopofFormChar">
    <w:name w:val="z-Top of Form Char"/>
    <w:basedOn w:val="DefaultParagraphFont"/>
    <w:link w:val="z-TopofForm"/>
    <w:uiPriority w:val="99"/>
    <w:semiHidden/>
    <w:rsid w:val="0089773A"/>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89773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89773A"/>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9773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9773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89773A"/>
    <w:rPr>
      <w:rFonts w:ascii="Arial" w:hAnsi="Arial" w:cs="Arial"/>
      <w:vanish/>
      <w:sz w:val="16"/>
      <w:szCs w:val="16"/>
    </w:rPr>
  </w:style>
  <w:style w:type="paragraph" w:customStyle="1" w:styleId="Title1">
    <w:name w:val="Title1"/>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information">
    <w:name w:val="information"/>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info">
    <w:name w:val="info"/>
    <w:basedOn w:val="DefaultParagraphFont"/>
    <w:rsid w:val="0089773A"/>
  </w:style>
  <w:style w:type="paragraph" w:customStyle="1" w:styleId="indentb">
    <w:name w:val="indentb"/>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Footer1">
    <w:name w:val="Footer1"/>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yle">
    <w:name w:val="Style"/>
    <w:rsid w:val="0089773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89773A"/>
    <w:pPr>
      <w:spacing w:after="200" w:line="276" w:lineRule="auto"/>
      <w:ind w:left="720"/>
      <w:contextualSpacing/>
    </w:pPr>
    <w:rPr>
      <w:rFonts w:ascii="Calibri" w:eastAsia="Calibri" w:hAnsi="Calibri" w:cs="Times New Roman"/>
      <w:lang w:val="en-GB"/>
    </w:rPr>
  </w:style>
  <w:style w:type="character" w:styleId="PageNumber">
    <w:name w:val="page number"/>
    <w:basedOn w:val="DefaultParagraphFont"/>
    <w:uiPriority w:val="99"/>
    <w:rsid w:val="0089773A"/>
  </w:style>
  <w:style w:type="paragraph" w:customStyle="1" w:styleId="pbody">
    <w:name w:val="pbody"/>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quation">
    <w:name w:val="pequation"/>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picture">
    <w:name w:val="ppicture"/>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89773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89773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8977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9773A"/>
    <w:pPr>
      <w:spacing w:before="100" w:beforeAutospacing="1" w:after="100" w:afterAutospacing="1" w:line="240" w:lineRule="auto"/>
      <w:ind w:firstLineChars="400" w:firstLine="400"/>
    </w:pPr>
    <w:rPr>
      <w:rFonts w:ascii="Times New Roman" w:eastAsia="Times New Roman" w:hAnsi="Times New Roman" w:cs="Times New Roman"/>
      <w:b/>
      <w:bCs/>
      <w:sz w:val="24"/>
      <w:szCs w:val="24"/>
    </w:rPr>
  </w:style>
  <w:style w:type="character" w:customStyle="1" w:styleId="tlid-translation">
    <w:name w:val="tlid-translation"/>
    <w:basedOn w:val="DefaultParagraphFont"/>
    <w:rsid w:val="00DC252B"/>
    <w:rPr>
      <w:rFonts w:ascii="Calibri" w:eastAsia="Calibri" w:hAnsi="Calibri" w:cs="Arial"/>
    </w:rPr>
  </w:style>
  <w:style w:type="table" w:customStyle="1" w:styleId="GridTable1Light2">
    <w:name w:val="Grid Table 1 Light2"/>
    <w:basedOn w:val="TableNormal"/>
    <w:uiPriority w:val="46"/>
    <w:rsid w:val="00622830"/>
    <w:pPr>
      <w:spacing w:after="0" w:line="240" w:lineRule="auto"/>
    </w:pPr>
    <w:rPr>
      <w:rFonts w:ascii="Calibri" w:eastAsia="Calibri" w:hAnsi="Calibri" w:cs="SimSun"/>
      <w:lang w:val="en-MY"/>
    </w:rPr>
    <w:tblPr>
      <w:tblStyleRowBandSize w:val="1"/>
      <w:tblStyleColBandSize w:val="1"/>
      <w:tblBorders>
        <w:bottom w:val="single" w:sz="4" w:space="0" w:color="000000" w:themeColor="text1"/>
      </w:tblBorders>
    </w:tblPr>
    <w:tblStylePr w:type="firstRow">
      <w:rPr>
        <w:b/>
        <w:bCs/>
      </w:rPr>
      <w:tblPr/>
      <w:tcPr>
        <w:tcBorders>
          <w:top w:val="single" w:sz="12" w:space="0" w:color="auto"/>
          <w:bottom w:val="single" w:sz="12" w:space="0" w:color="auto"/>
        </w:tcBorders>
      </w:tcPr>
    </w:tblStylePr>
    <w:tblStylePr w:type="lastRow">
      <w:rPr>
        <w:b/>
        <w:bCs w:val="0"/>
        <w:iCs w:val="0"/>
      </w:rPr>
      <w:tblPr/>
      <w:tcPr>
        <w:tcBorders>
          <w:top w:val="double" w:sz="18" w:space="0" w:color="auto"/>
        </w:tcBorders>
      </w:tcPr>
    </w:tblStylePr>
    <w:tblStylePr w:type="firstCol">
      <w:rPr>
        <w:b w:val="0"/>
        <w:bCs/>
      </w:rPr>
    </w:tblStylePr>
    <w:tblStylePr w:type="lastCol">
      <w:rPr>
        <w:b/>
        <w:bCs/>
      </w:rPr>
    </w:tblStylePr>
  </w:style>
  <w:style w:type="character" w:customStyle="1" w:styleId="CaptionChar">
    <w:name w:val="Caption Char"/>
    <w:basedOn w:val="DefaultParagraphFont"/>
    <w:link w:val="Caption"/>
    <w:uiPriority w:val="35"/>
    <w:rsid w:val="00622830"/>
    <w:rPr>
      <w:rFonts w:ascii="Times New Roman" w:eastAsia="Times New Roman" w:hAnsi="Times New Roman" w:cs="Times New Roman"/>
      <w:b/>
      <w:bCs/>
    </w:rPr>
  </w:style>
  <w:style w:type="paragraph" w:styleId="TOC1">
    <w:name w:val="toc 1"/>
    <w:basedOn w:val="Normal"/>
    <w:next w:val="Normal"/>
    <w:autoRedefine/>
    <w:uiPriority w:val="39"/>
    <w:unhideWhenUsed/>
    <w:rsid w:val="00BD1C2A"/>
    <w:pPr>
      <w:spacing w:before="120" w:after="120" w:line="276" w:lineRule="auto"/>
    </w:pPr>
    <w:rPr>
      <w:rFonts w:ascii="Calibri" w:eastAsia="Calibri" w:hAnsi="Calibri" w:cs="Times New Roman"/>
      <w:b/>
      <w:bCs/>
      <w:caps/>
      <w:sz w:val="20"/>
      <w:szCs w:val="20"/>
    </w:rPr>
  </w:style>
  <w:style w:type="paragraph" w:styleId="TOC2">
    <w:name w:val="toc 2"/>
    <w:basedOn w:val="Normal"/>
    <w:next w:val="Normal"/>
    <w:autoRedefine/>
    <w:uiPriority w:val="39"/>
    <w:unhideWhenUsed/>
    <w:rsid w:val="00BD1C2A"/>
    <w:pPr>
      <w:spacing w:after="0" w:line="276" w:lineRule="auto"/>
      <w:ind w:left="220"/>
    </w:pPr>
    <w:rPr>
      <w:rFonts w:ascii="Calibri" w:eastAsia="Calibri" w:hAnsi="Calibri" w:cs="Times New Roman"/>
      <w:smallCaps/>
      <w:sz w:val="20"/>
      <w:szCs w:val="20"/>
    </w:rPr>
  </w:style>
  <w:style w:type="paragraph" w:styleId="TOC3">
    <w:name w:val="toc 3"/>
    <w:basedOn w:val="Normal"/>
    <w:next w:val="Normal"/>
    <w:autoRedefine/>
    <w:uiPriority w:val="39"/>
    <w:unhideWhenUsed/>
    <w:rsid w:val="00BD1C2A"/>
    <w:pPr>
      <w:spacing w:after="0" w:line="276" w:lineRule="auto"/>
      <w:ind w:left="440"/>
    </w:pPr>
    <w:rPr>
      <w:rFonts w:ascii="Calibri" w:eastAsia="Calibri" w:hAnsi="Calibri" w:cs="Times New Roman"/>
      <w:i/>
      <w:iCs/>
      <w:sz w:val="20"/>
      <w:szCs w:val="20"/>
    </w:rPr>
  </w:style>
  <w:style w:type="paragraph" w:styleId="TOC4">
    <w:name w:val="toc 4"/>
    <w:basedOn w:val="Normal"/>
    <w:next w:val="Normal"/>
    <w:autoRedefine/>
    <w:uiPriority w:val="39"/>
    <w:unhideWhenUsed/>
    <w:rsid w:val="00BD1C2A"/>
    <w:pPr>
      <w:spacing w:after="0" w:line="276" w:lineRule="auto"/>
      <w:ind w:left="660"/>
    </w:pPr>
    <w:rPr>
      <w:rFonts w:ascii="Calibri" w:eastAsia="Calibri" w:hAnsi="Calibri" w:cs="Times New Roman"/>
      <w:sz w:val="18"/>
      <w:szCs w:val="18"/>
    </w:rPr>
  </w:style>
  <w:style w:type="paragraph" w:styleId="TOC5">
    <w:name w:val="toc 5"/>
    <w:basedOn w:val="Normal"/>
    <w:next w:val="Normal"/>
    <w:autoRedefine/>
    <w:uiPriority w:val="39"/>
    <w:unhideWhenUsed/>
    <w:rsid w:val="00BD1C2A"/>
    <w:pPr>
      <w:spacing w:after="0" w:line="276" w:lineRule="auto"/>
      <w:ind w:left="880"/>
    </w:pPr>
    <w:rPr>
      <w:rFonts w:ascii="Calibri" w:eastAsia="Calibri" w:hAnsi="Calibri" w:cs="Times New Roman"/>
      <w:sz w:val="18"/>
      <w:szCs w:val="18"/>
    </w:rPr>
  </w:style>
  <w:style w:type="paragraph" w:styleId="TOC6">
    <w:name w:val="toc 6"/>
    <w:basedOn w:val="Normal"/>
    <w:next w:val="Normal"/>
    <w:autoRedefine/>
    <w:uiPriority w:val="39"/>
    <w:unhideWhenUsed/>
    <w:rsid w:val="00BD1C2A"/>
    <w:pPr>
      <w:spacing w:after="0" w:line="276" w:lineRule="auto"/>
      <w:ind w:left="1100"/>
    </w:pPr>
    <w:rPr>
      <w:rFonts w:ascii="Calibri" w:eastAsia="Calibri" w:hAnsi="Calibri" w:cs="Times New Roman"/>
      <w:sz w:val="18"/>
      <w:szCs w:val="18"/>
    </w:rPr>
  </w:style>
  <w:style w:type="paragraph" w:styleId="TOC7">
    <w:name w:val="toc 7"/>
    <w:basedOn w:val="Normal"/>
    <w:next w:val="Normal"/>
    <w:autoRedefine/>
    <w:uiPriority w:val="39"/>
    <w:unhideWhenUsed/>
    <w:rsid w:val="00BD1C2A"/>
    <w:pPr>
      <w:spacing w:after="0" w:line="276" w:lineRule="auto"/>
      <w:ind w:left="1320"/>
    </w:pPr>
    <w:rPr>
      <w:rFonts w:ascii="Calibri" w:eastAsia="Calibri" w:hAnsi="Calibri" w:cs="Times New Roman"/>
      <w:sz w:val="18"/>
      <w:szCs w:val="18"/>
    </w:rPr>
  </w:style>
  <w:style w:type="paragraph" w:styleId="TOC8">
    <w:name w:val="toc 8"/>
    <w:basedOn w:val="Normal"/>
    <w:next w:val="Normal"/>
    <w:autoRedefine/>
    <w:uiPriority w:val="39"/>
    <w:unhideWhenUsed/>
    <w:rsid w:val="00BD1C2A"/>
    <w:pPr>
      <w:spacing w:after="0" w:line="276" w:lineRule="auto"/>
      <w:ind w:left="1540"/>
    </w:pPr>
    <w:rPr>
      <w:rFonts w:ascii="Calibri" w:eastAsia="Calibri" w:hAnsi="Calibri" w:cs="Times New Roman"/>
      <w:sz w:val="18"/>
      <w:szCs w:val="18"/>
    </w:rPr>
  </w:style>
  <w:style w:type="paragraph" w:styleId="TOC9">
    <w:name w:val="toc 9"/>
    <w:basedOn w:val="Normal"/>
    <w:next w:val="Normal"/>
    <w:autoRedefine/>
    <w:uiPriority w:val="39"/>
    <w:unhideWhenUsed/>
    <w:rsid w:val="00BD1C2A"/>
    <w:pPr>
      <w:spacing w:after="0" w:line="276" w:lineRule="auto"/>
      <w:ind w:left="1760"/>
    </w:pPr>
    <w:rPr>
      <w:rFonts w:ascii="Calibri" w:eastAsia="Calibri" w:hAnsi="Calibri" w:cs="Times New Roman"/>
      <w:sz w:val="18"/>
      <w:szCs w:val="18"/>
    </w:rPr>
  </w:style>
  <w:style w:type="paragraph" w:styleId="TableofFigures">
    <w:name w:val="table of figures"/>
    <w:basedOn w:val="Normal"/>
    <w:next w:val="Normal"/>
    <w:uiPriority w:val="99"/>
    <w:unhideWhenUsed/>
    <w:rsid w:val="00BD1C2A"/>
    <w:pPr>
      <w:spacing w:after="0" w:line="276" w:lineRule="auto"/>
      <w:ind w:left="440" w:hanging="440"/>
    </w:pPr>
    <w:rPr>
      <w:rFonts w:ascii="Calibri" w:eastAsia="Calibri" w:hAnsi="Calibri" w:cs="Times New Roman"/>
      <w:smallCaps/>
      <w:sz w:val="20"/>
      <w:szCs w:val="20"/>
    </w:rPr>
  </w:style>
  <w:style w:type="character" w:customStyle="1" w:styleId="ilfuvd">
    <w:name w:val="ilfuvd"/>
    <w:basedOn w:val="DefaultParagraphFont"/>
    <w:rsid w:val="00BD1C2A"/>
  </w:style>
  <w:style w:type="character" w:customStyle="1" w:styleId="persname">
    <w:name w:val="persname"/>
    <w:rsid w:val="00BD1C2A"/>
  </w:style>
  <w:style w:type="character" w:customStyle="1" w:styleId="surname">
    <w:name w:val="surname"/>
    <w:rsid w:val="00BD1C2A"/>
  </w:style>
  <w:style w:type="character" w:customStyle="1" w:styleId="forename">
    <w:name w:val="forename"/>
    <w:rsid w:val="00BD1C2A"/>
  </w:style>
  <w:style w:type="character" w:customStyle="1" w:styleId="Date1">
    <w:name w:val="Date1"/>
    <w:rsid w:val="00BD1C2A"/>
  </w:style>
  <w:style w:type="character" w:customStyle="1" w:styleId="pubplace">
    <w:name w:val="pubplace"/>
    <w:rsid w:val="00BD1C2A"/>
  </w:style>
  <w:style w:type="character" w:customStyle="1" w:styleId="publisher">
    <w:name w:val="publisher"/>
    <w:rsid w:val="00BD1C2A"/>
  </w:style>
  <w:style w:type="character" w:customStyle="1" w:styleId="nlmyear">
    <w:name w:val="nlm_year"/>
    <w:basedOn w:val="DefaultParagraphFont"/>
    <w:rsid w:val="00BD1C2A"/>
  </w:style>
  <w:style w:type="character" w:customStyle="1" w:styleId="nlmarticle-title">
    <w:name w:val="nlm_article-title"/>
    <w:basedOn w:val="DefaultParagraphFont"/>
    <w:rsid w:val="00BD1C2A"/>
  </w:style>
  <w:style w:type="character" w:customStyle="1" w:styleId="nlmfpage">
    <w:name w:val="nlm_fpage"/>
    <w:basedOn w:val="DefaultParagraphFont"/>
    <w:rsid w:val="00BD1C2A"/>
  </w:style>
  <w:style w:type="character" w:customStyle="1" w:styleId="nlmlpage">
    <w:name w:val="nlm_lpage"/>
    <w:basedOn w:val="DefaultParagraphFont"/>
    <w:rsid w:val="00BD1C2A"/>
  </w:style>
  <w:style w:type="character" w:customStyle="1" w:styleId="ref-google">
    <w:name w:val="ref-google"/>
    <w:basedOn w:val="DefaultParagraphFont"/>
    <w:rsid w:val="00BD1C2A"/>
  </w:style>
  <w:style w:type="character" w:customStyle="1" w:styleId="ref-xlink">
    <w:name w:val="ref-xlink"/>
    <w:basedOn w:val="DefaultParagraphFont"/>
    <w:rsid w:val="00BD1C2A"/>
  </w:style>
  <w:style w:type="character" w:customStyle="1" w:styleId="nlmpublisher-loc">
    <w:name w:val="nlm_publisher-loc"/>
    <w:basedOn w:val="DefaultParagraphFont"/>
    <w:rsid w:val="00BD1C2A"/>
  </w:style>
  <w:style w:type="paragraph" w:customStyle="1" w:styleId="BodyA">
    <w:name w:val="Body A"/>
    <w:rsid w:val="008F76B6"/>
    <w:pPr>
      <w:spacing w:after="0" w:line="240" w:lineRule="auto"/>
    </w:pPr>
    <w:rPr>
      <w:rFonts w:ascii="Helvetica Neue" w:eastAsia="Arial Unicode MS" w:hAnsi="Helvetica Neue" w:cs="Arial Unicode MS"/>
      <w:color w:val="000000"/>
      <w:u w:color="000000"/>
      <w14:textOutline w14:w="12700" w14:cap="flat" w14:cmpd="sng" w14:algn="ctr">
        <w14:noFill/>
        <w14:prstDash w14:val="solid"/>
        <w14:miter w14:lim="100000"/>
      </w14:textOutline>
    </w:rPr>
  </w:style>
  <w:style w:type="paragraph" w:customStyle="1" w:styleId="BodyB">
    <w:name w:val="Body B"/>
    <w:rsid w:val="008F76B6"/>
    <w:pPr>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100000"/>
      </w14:textOutline>
    </w:rPr>
  </w:style>
  <w:style w:type="paragraph" w:customStyle="1" w:styleId="TableStyle2A">
    <w:name w:val="Table Style 2 A"/>
    <w:rsid w:val="008F76B6"/>
    <w:pPr>
      <w:spacing w:after="0" w:line="240" w:lineRule="auto"/>
    </w:pPr>
    <w:rPr>
      <w:rFonts w:ascii="Helvetica Neue" w:eastAsia="Arial Unicode MS" w:hAnsi="Helvetica Neue" w:cs="Arial Unicode MS"/>
      <w:color w:val="000000"/>
      <w:sz w:val="20"/>
      <w:szCs w:val="20"/>
      <w:u w:color="000000"/>
      <w14:textOutline w14:w="12700" w14:cap="flat" w14:cmpd="sng" w14:algn="ctr">
        <w14:noFill/>
        <w14:prstDash w14:val="solid"/>
        <w14:miter w14:lim="100000"/>
      </w14:textOutline>
    </w:rPr>
  </w:style>
  <w:style w:type="numbering" w:customStyle="1" w:styleId="Numbered">
    <w:name w:val="Numbered"/>
    <w:rsid w:val="008F76B6"/>
    <w:pPr>
      <w:numPr>
        <w:numId w:val="4"/>
      </w:numPr>
    </w:pPr>
  </w:style>
  <w:style w:type="character" w:customStyle="1" w:styleId="Heading6Char">
    <w:name w:val="Heading 6 Char"/>
    <w:basedOn w:val="DefaultParagraphFont"/>
    <w:link w:val="Heading6"/>
    <w:uiPriority w:val="9"/>
    <w:rsid w:val="00C95C8D"/>
    <w:rPr>
      <w:rFonts w:ascii="Times New Roman" w:eastAsia="Calibri" w:hAnsi="Times New Roman" w:cs="Calibri"/>
      <w:b/>
      <w:sz w:val="20"/>
      <w:szCs w:val="20"/>
      <w:lang w:val="en-GB" w:eastAsia="en-MY"/>
    </w:rPr>
  </w:style>
  <w:style w:type="paragraph" w:styleId="Title">
    <w:name w:val="Title"/>
    <w:basedOn w:val="Normal"/>
    <w:next w:val="Normal"/>
    <w:link w:val="TitleChar"/>
    <w:uiPriority w:val="10"/>
    <w:qFormat/>
    <w:rsid w:val="00C95C8D"/>
    <w:pPr>
      <w:keepNext/>
      <w:keepLines/>
      <w:spacing w:before="480" w:after="120" w:line="240" w:lineRule="auto"/>
      <w:jc w:val="both"/>
    </w:pPr>
    <w:rPr>
      <w:rFonts w:ascii="Times New Roman" w:eastAsia="Calibri" w:hAnsi="Times New Roman" w:cs="Calibri"/>
      <w:b/>
      <w:sz w:val="72"/>
      <w:szCs w:val="72"/>
      <w:lang w:val="en-GB" w:eastAsia="en-MY"/>
    </w:rPr>
  </w:style>
  <w:style w:type="character" w:customStyle="1" w:styleId="TitleChar">
    <w:name w:val="Title Char"/>
    <w:basedOn w:val="DefaultParagraphFont"/>
    <w:link w:val="Title"/>
    <w:uiPriority w:val="10"/>
    <w:rsid w:val="00C95C8D"/>
    <w:rPr>
      <w:rFonts w:ascii="Times New Roman" w:eastAsia="Calibri" w:hAnsi="Times New Roman" w:cs="Calibri"/>
      <w:b/>
      <w:sz w:val="72"/>
      <w:szCs w:val="72"/>
      <w:lang w:val="en-GB" w:eastAsia="en-MY"/>
    </w:rPr>
  </w:style>
  <w:style w:type="paragraph" w:styleId="Subtitle">
    <w:name w:val="Subtitle"/>
    <w:basedOn w:val="Normal"/>
    <w:next w:val="Normal"/>
    <w:link w:val="SubtitleChar"/>
    <w:qFormat/>
    <w:rsid w:val="00C95C8D"/>
    <w:pPr>
      <w:keepNext/>
      <w:keepLines/>
      <w:spacing w:before="360" w:after="80" w:line="240" w:lineRule="auto"/>
      <w:jc w:val="both"/>
    </w:pPr>
    <w:rPr>
      <w:rFonts w:ascii="Georgia" w:eastAsia="Georgia" w:hAnsi="Georgia" w:cs="Georgia"/>
      <w:i/>
      <w:color w:val="666666"/>
      <w:sz w:val="48"/>
      <w:szCs w:val="48"/>
      <w:lang w:val="en-GB" w:eastAsia="en-MY"/>
    </w:rPr>
  </w:style>
  <w:style w:type="character" w:customStyle="1" w:styleId="SubtitleChar">
    <w:name w:val="Subtitle Char"/>
    <w:basedOn w:val="DefaultParagraphFont"/>
    <w:link w:val="Subtitle"/>
    <w:rsid w:val="00C95C8D"/>
    <w:rPr>
      <w:rFonts w:ascii="Georgia" w:eastAsia="Georgia" w:hAnsi="Georgia" w:cs="Georgia"/>
      <w:i/>
      <w:color w:val="666666"/>
      <w:sz w:val="48"/>
      <w:szCs w:val="48"/>
      <w:lang w:val="en-GB" w:eastAsia="en-MY"/>
    </w:rPr>
  </w:style>
  <w:style w:type="table" w:customStyle="1" w:styleId="10">
    <w:name w:val="10"/>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9">
    <w:name w:val="9"/>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CellMar>
        <w:left w:w="93" w:type="dxa"/>
        <w:right w:w="93" w:type="dxa"/>
      </w:tblCellMar>
    </w:tblPr>
  </w:style>
  <w:style w:type="table" w:customStyle="1" w:styleId="8">
    <w:name w:val="8"/>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7">
    <w:name w:val="7"/>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6">
    <w:name w:val="6"/>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5">
    <w:name w:val="5"/>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4">
    <w:name w:val="4"/>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3">
    <w:name w:val="3"/>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2">
    <w:name w:val="2"/>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1">
    <w:name w:val="1"/>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paragraph" w:customStyle="1" w:styleId="a2">
    <w:name w:val="عنوان جانبي (أنماط المتن)"/>
    <w:basedOn w:val="Normal"/>
    <w:link w:val="Char0"/>
    <w:uiPriority w:val="99"/>
    <w:qFormat/>
    <w:rsid w:val="006C165C"/>
    <w:pPr>
      <w:autoSpaceDE w:val="0"/>
      <w:autoSpaceDN w:val="0"/>
      <w:bidi/>
      <w:adjustRightInd w:val="0"/>
      <w:spacing w:before="360" w:after="120" w:line="360" w:lineRule="auto"/>
      <w:ind w:firstLine="454"/>
      <w:jc w:val="both"/>
      <w:textAlignment w:val="center"/>
    </w:pPr>
    <w:rPr>
      <w:rFonts w:ascii="Times New Roman" w:eastAsia="Calibri" w:hAnsi="Times New Roman" w:cs="Arabic Transparent"/>
      <w:bCs/>
      <w:color w:val="000000"/>
      <w:sz w:val="28"/>
      <w:szCs w:val="32"/>
      <w:lang w:bidi="ar-YE"/>
    </w:rPr>
  </w:style>
  <w:style w:type="character" w:customStyle="1" w:styleId="Char0">
    <w:name w:val="عنوان جانبي (أنماط المتن) Char"/>
    <w:link w:val="a2"/>
    <w:uiPriority w:val="99"/>
    <w:rsid w:val="006C165C"/>
    <w:rPr>
      <w:rFonts w:ascii="Times New Roman" w:eastAsia="Calibri" w:hAnsi="Times New Roman" w:cs="Arabic Transparent"/>
      <w:bCs/>
      <w:color w:val="000000"/>
      <w:sz w:val="28"/>
      <w:szCs w:val="32"/>
      <w:lang w:bidi="ar-YE"/>
    </w:rPr>
  </w:style>
  <w:style w:type="character" w:customStyle="1" w:styleId="personname">
    <w:name w:val="person_name"/>
    <w:basedOn w:val="DefaultParagraphFont"/>
    <w:rsid w:val="006C165C"/>
  </w:style>
  <w:style w:type="paragraph" w:customStyle="1" w:styleId="xydpcc708c84msonormal">
    <w:name w:val="x_ydpcc708c84msonormal"/>
    <w:basedOn w:val="Normal"/>
    <w:rsid w:val="006C1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287DDB"/>
    <w:rPr>
      <w:rFonts w:ascii="Calibri" w:eastAsia="Calibri" w:hAnsi="Calibri" w:cs="Calibri"/>
      <w:lang w:val="en-SG"/>
    </w:rPr>
  </w:style>
  <w:style w:type="paragraph" w:styleId="HTMLPreformatted">
    <w:name w:val="HTML Preformatted"/>
    <w:basedOn w:val="Normal"/>
    <w:link w:val="HTMLPreformattedChar"/>
    <w:uiPriority w:val="99"/>
    <w:unhideWhenUsed/>
    <w:rsid w:val="0015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MY"/>
    </w:rPr>
  </w:style>
  <w:style w:type="character" w:customStyle="1" w:styleId="HTMLPreformattedChar">
    <w:name w:val="HTML Preformatted Char"/>
    <w:basedOn w:val="DefaultParagraphFont"/>
    <w:link w:val="HTMLPreformatted"/>
    <w:uiPriority w:val="99"/>
    <w:rsid w:val="00156A84"/>
    <w:rPr>
      <w:rFonts w:ascii="Courier New" w:eastAsia="Times New Roman" w:hAnsi="Courier New" w:cs="Courier New"/>
      <w:sz w:val="20"/>
      <w:szCs w:val="20"/>
      <w:lang w:val="en-MY"/>
    </w:rPr>
  </w:style>
  <w:style w:type="paragraph" w:customStyle="1" w:styleId="MediumGrid21">
    <w:name w:val="Medium Grid 21"/>
    <w:uiPriority w:val="1"/>
    <w:qFormat/>
    <w:rsid w:val="00156A84"/>
    <w:pPr>
      <w:spacing w:after="0" w:line="240" w:lineRule="auto"/>
    </w:pPr>
    <w:rPr>
      <w:rFonts w:ascii="Calibri" w:eastAsia="Calibri" w:hAnsi="Calibri" w:cs="Times New Roman"/>
    </w:rPr>
  </w:style>
  <w:style w:type="paragraph" w:styleId="DocumentMap">
    <w:name w:val="Document Map"/>
    <w:basedOn w:val="Normal"/>
    <w:link w:val="DocumentMapChar"/>
    <w:uiPriority w:val="99"/>
    <w:semiHidden/>
    <w:unhideWhenUsed/>
    <w:rsid w:val="008B4456"/>
    <w:pPr>
      <w:spacing w:after="0" w:line="240" w:lineRule="auto"/>
    </w:pPr>
    <w:rPr>
      <w:rFonts w:ascii="Times New Roman" w:hAnsi="Times New Roman" w:cs="Times New Roman"/>
      <w:sz w:val="24"/>
      <w:szCs w:val="24"/>
      <w:lang w:val="en-MY"/>
    </w:rPr>
  </w:style>
  <w:style w:type="character" w:customStyle="1" w:styleId="DocumentMapChar">
    <w:name w:val="Document Map Char"/>
    <w:basedOn w:val="DefaultParagraphFont"/>
    <w:link w:val="DocumentMap"/>
    <w:uiPriority w:val="99"/>
    <w:semiHidden/>
    <w:rsid w:val="008B4456"/>
    <w:rPr>
      <w:rFonts w:ascii="Times New Roman" w:hAnsi="Times New Roman" w:cs="Times New Roman"/>
      <w:sz w:val="24"/>
      <w:szCs w:val="24"/>
      <w:lang w:val="en-MY"/>
    </w:rPr>
  </w:style>
  <w:style w:type="table" w:customStyle="1" w:styleId="TableGrid0">
    <w:name w:val="TableGrid"/>
    <w:rsid w:val="00CA6ABE"/>
    <w:pPr>
      <w:spacing w:before="120" w:after="0" w:line="240" w:lineRule="auto"/>
      <w:jc w:val="both"/>
    </w:pPr>
    <w:rPr>
      <w:rFonts w:eastAsiaTheme="minorEastAsia"/>
      <w:lang w:val="en-MY" w:eastAsia="zh-CN"/>
    </w:rPr>
    <w:tblPr>
      <w:tblCellMar>
        <w:top w:w="0" w:type="dxa"/>
        <w:left w:w="0" w:type="dxa"/>
        <w:bottom w:w="0" w:type="dxa"/>
        <w:right w:w="0" w:type="dxa"/>
      </w:tblCellMar>
    </w:tblPr>
  </w:style>
  <w:style w:type="character" w:customStyle="1" w:styleId="Heading8Char">
    <w:name w:val="Heading 8 Char"/>
    <w:basedOn w:val="DefaultParagraphFont"/>
    <w:link w:val="Heading8"/>
    <w:uiPriority w:val="9"/>
    <w:semiHidden/>
    <w:rsid w:val="00EC04B1"/>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EC04B1"/>
    <w:rPr>
      <w:rFonts w:asciiTheme="majorHAnsi" w:eastAsiaTheme="majorEastAsia" w:hAnsiTheme="majorHAnsi" w:cstheme="majorBidi"/>
      <w:i/>
      <w:iCs/>
      <w:color w:val="404040" w:themeColor="text1" w:themeTint="BF"/>
      <w:sz w:val="20"/>
      <w:szCs w:val="20"/>
      <w:lang w:val="en-GB"/>
    </w:rPr>
  </w:style>
  <w:style w:type="table" w:customStyle="1" w:styleId="PlainTable51">
    <w:name w:val="Plain Table 51"/>
    <w:basedOn w:val="TableNormal"/>
    <w:uiPriority w:val="45"/>
    <w:rsid w:val="00EC04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59"/>
    <w:rsid w:val="00EC04B1"/>
    <w:pPr>
      <w:spacing w:after="0" w:line="240" w:lineRule="auto"/>
      <w:ind w:firstLine="720"/>
      <w:jc w:val="both"/>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C04B1"/>
    <w:pPr>
      <w:widowControl w:val="0"/>
      <w:autoSpaceDE w:val="0"/>
      <w:autoSpaceDN w:val="0"/>
      <w:spacing w:after="0" w:line="240" w:lineRule="auto"/>
    </w:pPr>
    <w:rPr>
      <w:rFonts w:ascii="Times New Roman" w:eastAsia="Times New Roman" w:hAnsi="Times New Roman" w:cs="Times New Roman"/>
    </w:rPr>
  </w:style>
  <w:style w:type="table" w:customStyle="1" w:styleId="TableGrid3">
    <w:name w:val="Table Grid3"/>
    <w:basedOn w:val="TableNormal"/>
    <w:next w:val="TableGrid"/>
    <w:uiPriority w:val="39"/>
    <w:rsid w:val="00EC04B1"/>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AE5A6D"/>
  </w:style>
  <w:style w:type="character" w:customStyle="1" w:styleId="A00">
    <w:name w:val="A0"/>
    <w:uiPriority w:val="99"/>
    <w:rsid w:val="00AE5A6D"/>
    <w:rPr>
      <w:rFonts w:cs="Montserrat"/>
      <w:color w:val="000000"/>
      <w:sz w:val="20"/>
      <w:szCs w:val="20"/>
    </w:rPr>
  </w:style>
  <w:style w:type="table" w:customStyle="1" w:styleId="Style11">
    <w:name w:val="_Style 11"/>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2">
    <w:name w:val="_Style 12"/>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3">
    <w:name w:val="_Style 13"/>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character" w:customStyle="1" w:styleId="il">
    <w:name w:val="il"/>
    <w:basedOn w:val="DefaultParagraphFont"/>
    <w:rsid w:val="00A33E48"/>
  </w:style>
  <w:style w:type="character" w:customStyle="1" w:styleId="hgkelc">
    <w:name w:val="hgkelc"/>
    <w:basedOn w:val="DefaultParagraphFont"/>
    <w:rsid w:val="006D5D6C"/>
  </w:style>
  <w:style w:type="character" w:customStyle="1" w:styleId="longtext1">
    <w:name w:val="long_text1"/>
    <w:basedOn w:val="DefaultParagraphFont"/>
    <w:rsid w:val="003502CB"/>
    <w:rPr>
      <w:rFonts w:asciiTheme="majorBidi" w:hAnsiTheme="majorBidi" w:cstheme="majorBidi" w:hint="default"/>
      <w:sz w:val="24"/>
      <w:szCs w:val="24"/>
    </w:rPr>
  </w:style>
  <w:style w:type="character" w:customStyle="1" w:styleId="title-text">
    <w:name w:val="title-text"/>
    <w:basedOn w:val="DefaultParagraphFont"/>
    <w:rsid w:val="000B6048"/>
  </w:style>
  <w:style w:type="character" w:customStyle="1" w:styleId="mixed-citation">
    <w:name w:val="mixed-citation"/>
    <w:basedOn w:val="DefaultParagraphFont"/>
    <w:rsid w:val="00F96C50"/>
  </w:style>
  <w:style w:type="paragraph" w:styleId="BlockText">
    <w:name w:val="Block Text"/>
    <w:basedOn w:val="Normal"/>
    <w:uiPriority w:val="99"/>
    <w:unhideWhenUsed/>
    <w:rsid w:val="00DA6251"/>
    <w:pPr>
      <w:widowControl w:val="0"/>
      <w:spacing w:after="0" w:line="240" w:lineRule="auto"/>
      <w:ind w:leftChars="300" w:left="630" w:rightChars="300" w:right="630"/>
      <w:jc w:val="both"/>
    </w:pPr>
    <w:rPr>
      <w:rFonts w:ascii="Times New Roman" w:eastAsia="SimSun" w:hAnsi="Times New Roman" w:cs="Times New Roman"/>
      <w:kern w:val="2"/>
      <w:lang w:eastAsia="zh-CN"/>
    </w:rPr>
  </w:style>
  <w:style w:type="table" w:styleId="LightShading-Accent5">
    <w:name w:val="Light Shading Accent 5"/>
    <w:basedOn w:val="TableNormal"/>
    <w:uiPriority w:val="60"/>
    <w:rsid w:val="00DA6251"/>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
    <w:name w:val="Light Shading"/>
    <w:basedOn w:val="TableNormal"/>
    <w:uiPriority w:val="60"/>
    <w:rsid w:val="00BB10B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juk1">
    <w:name w:val="Tajuk 1"/>
    <w:basedOn w:val="Heading1"/>
    <w:link w:val="Tajuk1Char"/>
    <w:qFormat/>
    <w:rsid w:val="00BB44CA"/>
    <w:pPr>
      <w:spacing w:before="240" w:line="360" w:lineRule="auto"/>
      <w:ind w:left="432" w:firstLine="0"/>
      <w:jc w:val="center"/>
    </w:pPr>
    <w:rPr>
      <w:rFonts w:ascii="Times New Roman" w:eastAsia="SimSun" w:hAnsi="Times New Roman" w:cs="Times New Roman"/>
      <w:bCs w:val="0"/>
      <w:color w:val="000000"/>
      <w:sz w:val="32"/>
      <w:szCs w:val="32"/>
      <w:lang w:val="en-MY" w:bidi="ar-SA"/>
    </w:rPr>
  </w:style>
  <w:style w:type="character" w:customStyle="1" w:styleId="Tajuk1Char">
    <w:name w:val="Tajuk 1 Char"/>
    <w:link w:val="Tajuk1"/>
    <w:qFormat/>
    <w:rsid w:val="00BB44CA"/>
    <w:rPr>
      <w:rFonts w:ascii="Times New Roman" w:eastAsia="SimSun" w:hAnsi="Times New Roman" w:cs="Times New Roman"/>
      <w:b/>
      <w:color w:val="000000"/>
      <w:sz w:val="32"/>
      <w:szCs w:val="32"/>
      <w:lang w:val="en-MY"/>
    </w:rPr>
  </w:style>
  <w:style w:type="paragraph" w:customStyle="1" w:styleId="Tajuk2">
    <w:name w:val="Tajuk 2"/>
    <w:basedOn w:val="Heading2"/>
    <w:link w:val="Tajuk2Char"/>
    <w:qFormat/>
    <w:rsid w:val="00BB44CA"/>
    <w:pPr>
      <w:tabs>
        <w:tab w:val="left" w:pos="567"/>
      </w:tabs>
      <w:spacing w:before="40" w:line="360" w:lineRule="auto"/>
      <w:ind w:firstLine="0"/>
    </w:pPr>
    <w:rPr>
      <w:rFonts w:ascii="Times New Roman" w:eastAsia="SimSun" w:hAnsi="Times New Roman" w:cs="Times New Roman"/>
      <w:bCs w:val="0"/>
      <w:color w:val="000000"/>
      <w:lang w:val="en-MY" w:bidi="ar-SA"/>
    </w:rPr>
  </w:style>
  <w:style w:type="character" w:customStyle="1" w:styleId="Tajuk2Char">
    <w:name w:val="Tajuk 2 Char"/>
    <w:link w:val="Tajuk2"/>
    <w:qFormat/>
    <w:rsid w:val="00BB44CA"/>
    <w:rPr>
      <w:rFonts w:ascii="Times New Roman" w:eastAsia="SimSun" w:hAnsi="Times New Roman" w:cs="Times New Roman"/>
      <w:b/>
      <w:color w:val="000000"/>
      <w:sz w:val="26"/>
      <w:szCs w:val="26"/>
      <w:lang w:val="en-MY"/>
    </w:rPr>
  </w:style>
  <w:style w:type="paragraph" w:customStyle="1" w:styleId="Tajuk3">
    <w:name w:val="Tajuk 3"/>
    <w:basedOn w:val="Heading3"/>
    <w:link w:val="Tajuk3Char"/>
    <w:qFormat/>
    <w:rsid w:val="00BB44CA"/>
    <w:pPr>
      <w:keepNext/>
      <w:keepLines/>
      <w:spacing w:before="40"/>
    </w:pPr>
    <w:rPr>
      <w:rFonts w:ascii="Times New Roman" w:eastAsia="SimSun" w:hAnsi="Times New Roman" w:cs="Times New Roman"/>
      <w:bCs w:val="0"/>
      <w:i w:val="0"/>
      <w:iCs w:val="0"/>
      <w:color w:val="000000"/>
      <w:sz w:val="24"/>
      <w:szCs w:val="24"/>
      <w:lang w:val="en-MY" w:bidi="ar-SA"/>
    </w:rPr>
  </w:style>
  <w:style w:type="character" w:customStyle="1" w:styleId="Tajuk3Char">
    <w:name w:val="Tajuk 3 Char"/>
    <w:link w:val="Tajuk3"/>
    <w:qFormat/>
    <w:rsid w:val="00BB44CA"/>
    <w:rPr>
      <w:rFonts w:ascii="Times New Roman" w:eastAsia="SimSun" w:hAnsi="Times New Roman" w:cs="Times New Roman"/>
      <w:b/>
      <w:color w:val="000000"/>
      <w:sz w:val="24"/>
      <w:szCs w:val="24"/>
      <w:lang w:val="en-MY"/>
    </w:rPr>
  </w:style>
  <w:style w:type="table" w:customStyle="1" w:styleId="TableGrid25">
    <w:name w:val="Table Grid25"/>
    <w:basedOn w:val="TableNormal"/>
    <w:next w:val="TableGrid"/>
    <w:uiPriority w:val="59"/>
    <w:rsid w:val="001A7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ofTables">
    <w:name w:val="List of Tables"/>
    <w:basedOn w:val="Normal"/>
    <w:link w:val="ListofTablesChar"/>
    <w:rsid w:val="001A7077"/>
    <w:pPr>
      <w:spacing w:line="360" w:lineRule="auto"/>
      <w:jc w:val="both"/>
    </w:pPr>
    <w:rPr>
      <w:rFonts w:ascii="Times New Roman" w:eastAsiaTheme="minorEastAsia" w:hAnsi="Times New Roman"/>
      <w:b/>
      <w:noProof/>
      <w:sz w:val="24"/>
      <w:lang w:val="en-GB"/>
    </w:rPr>
  </w:style>
  <w:style w:type="character" w:customStyle="1" w:styleId="ListofTablesChar">
    <w:name w:val="List of Tables Char"/>
    <w:basedOn w:val="DefaultParagraphFont"/>
    <w:link w:val="ListofTables"/>
    <w:rsid w:val="001A7077"/>
    <w:rPr>
      <w:rFonts w:ascii="Times New Roman" w:eastAsiaTheme="minorEastAsia" w:hAnsi="Times New Roman"/>
      <w:b/>
      <w:noProof/>
      <w:sz w:val="24"/>
      <w:lang w:val="en-GB"/>
    </w:rPr>
  </w:style>
  <w:style w:type="table" w:customStyle="1" w:styleId="TableGrid4">
    <w:name w:val="Table Grid4"/>
    <w:basedOn w:val="TableNormal"/>
    <w:next w:val="TableGrid"/>
    <w:uiPriority w:val="59"/>
    <w:rsid w:val="001A7077"/>
    <w:pPr>
      <w:spacing w:after="0" w:line="240" w:lineRule="auto"/>
    </w:pPr>
    <w:rPr>
      <w:rFonts w:ascii="Calibri" w:eastAsia="Calibri" w:hAnsi="Calibri" w:cs="Times New Roman"/>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Justified">
    <w:name w:val="Normal + Justified"/>
    <w:aliases w:val="Line spacing:  1.5 lines"/>
    <w:basedOn w:val="Normal"/>
    <w:rsid w:val="001A7077"/>
    <w:pPr>
      <w:spacing w:after="0" w:line="360" w:lineRule="auto"/>
      <w:jc w:val="both"/>
    </w:pPr>
    <w:rPr>
      <w:rFonts w:ascii="Times New Roman" w:eastAsia="Times New Roman" w:hAnsi="Times New Roman" w:cs="Times New Roman"/>
      <w:noProof/>
      <w:sz w:val="24"/>
      <w:szCs w:val="24"/>
      <w:lang w:val="en-GB"/>
    </w:rPr>
  </w:style>
  <w:style w:type="character" w:customStyle="1" w:styleId="A10">
    <w:name w:val="A10"/>
    <w:uiPriority w:val="99"/>
    <w:rsid w:val="001A7077"/>
    <w:rPr>
      <w:rFonts w:cs="Arno Pro"/>
      <w:color w:val="000000"/>
      <w:sz w:val="23"/>
      <w:szCs w:val="23"/>
    </w:rPr>
  </w:style>
  <w:style w:type="character" w:customStyle="1" w:styleId="Heading1Char1">
    <w:name w:val="Heading 1 Char1"/>
    <w:aliases w:val="First level Char1"/>
    <w:basedOn w:val="DefaultParagraphFont"/>
    <w:uiPriority w:val="9"/>
    <w:rsid w:val="001A7077"/>
    <w:rPr>
      <w:rFonts w:asciiTheme="majorHAnsi" w:eastAsiaTheme="majorEastAsia" w:hAnsiTheme="majorHAnsi" w:cstheme="majorBidi"/>
      <w:color w:val="2F5496" w:themeColor="accent1" w:themeShade="BF"/>
      <w:sz w:val="32"/>
      <w:szCs w:val="32"/>
      <w:lang w:val="en-US"/>
    </w:rPr>
  </w:style>
  <w:style w:type="paragraph" w:customStyle="1" w:styleId="Body">
    <w:name w:val="Body"/>
    <w:link w:val="BodyChar"/>
    <w:qFormat/>
    <w:rsid w:val="001A707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numbering" w:customStyle="1" w:styleId="NoList2">
    <w:name w:val="No List2"/>
    <w:next w:val="NoList"/>
    <w:uiPriority w:val="99"/>
    <w:semiHidden/>
    <w:unhideWhenUsed/>
    <w:rsid w:val="001A7077"/>
  </w:style>
  <w:style w:type="paragraph" w:styleId="TOCHeading">
    <w:name w:val="TOC Heading"/>
    <w:basedOn w:val="Heading1"/>
    <w:next w:val="Normal"/>
    <w:uiPriority w:val="39"/>
    <w:unhideWhenUsed/>
    <w:qFormat/>
    <w:rsid w:val="001A7077"/>
    <w:pPr>
      <w:spacing w:before="240" w:line="259" w:lineRule="auto"/>
      <w:ind w:firstLine="0"/>
      <w:outlineLvl w:val="9"/>
    </w:pPr>
    <w:rPr>
      <w:b w:val="0"/>
      <w:bCs w:val="0"/>
      <w:sz w:val="32"/>
      <w:szCs w:val="32"/>
      <w:lang w:bidi="ar-SA"/>
    </w:rPr>
  </w:style>
  <w:style w:type="numbering" w:customStyle="1" w:styleId="NoList11">
    <w:name w:val="No List11"/>
    <w:next w:val="NoList"/>
    <w:uiPriority w:val="99"/>
    <w:semiHidden/>
    <w:unhideWhenUsed/>
    <w:rsid w:val="001A7077"/>
  </w:style>
  <w:style w:type="character" w:customStyle="1" w:styleId="go">
    <w:name w:val="go"/>
    <w:basedOn w:val="DefaultParagraphFont"/>
    <w:rsid w:val="001A7077"/>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FA4AC4"/>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FA4AC4"/>
    <w:pPr>
      <w:widowControl w:val="0"/>
      <w:shd w:val="clear" w:color="auto" w:fill="FFFFFF"/>
      <w:spacing w:before="1260" w:after="0" w:line="418" w:lineRule="exact"/>
      <w:ind w:hanging="280"/>
      <w:jc w:val="center"/>
    </w:pPr>
  </w:style>
  <w:style w:type="table" w:styleId="LightShading-Accent1">
    <w:name w:val="Light Shading Accent 1"/>
    <w:basedOn w:val="TableNormal"/>
    <w:uiPriority w:val="60"/>
    <w:unhideWhenUsed/>
    <w:rsid w:val="00496EAA"/>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stTable2">
    <w:name w:val="List Table 2"/>
    <w:basedOn w:val="TableNormal"/>
    <w:uiPriority w:val="47"/>
    <w:rsid w:val="00F90FD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uerpotexto">
    <w:name w:val="Cuerpo texto"/>
    <w:basedOn w:val="Normal"/>
    <w:rsid w:val="00DC4524"/>
    <w:pPr>
      <w:spacing w:after="360" w:line="360" w:lineRule="auto"/>
      <w:ind w:firstLine="709"/>
      <w:jc w:val="both"/>
    </w:pPr>
    <w:rPr>
      <w:rFonts w:ascii="Times New Roman" w:eastAsia="Times New Roman" w:hAnsi="Times New Roman" w:cs="Times New Roman"/>
      <w:bCs/>
      <w:sz w:val="24"/>
      <w:szCs w:val="20"/>
      <w:lang w:val="es-ES" w:eastAsia="es-ES"/>
    </w:rPr>
  </w:style>
  <w:style w:type="character" w:styleId="PlaceholderText">
    <w:name w:val="Placeholder Text"/>
    <w:basedOn w:val="DefaultParagraphFont"/>
    <w:uiPriority w:val="99"/>
    <w:unhideWhenUsed/>
    <w:rsid w:val="00DB2688"/>
    <w:rPr>
      <w:color w:val="808080"/>
    </w:rPr>
  </w:style>
  <w:style w:type="paragraph" w:customStyle="1" w:styleId="Author">
    <w:name w:val="Author"/>
    <w:basedOn w:val="Normal"/>
    <w:link w:val="AuthorChar"/>
    <w:qFormat/>
    <w:rsid w:val="00D123C3"/>
    <w:pPr>
      <w:spacing w:after="0" w:line="240" w:lineRule="auto"/>
      <w:jc w:val="both"/>
    </w:pPr>
    <w:rPr>
      <w:rFonts w:ascii="PT Serif" w:eastAsia="Times New Roman" w:hAnsi="PT Serif" w:cs="Times New Roman"/>
      <w:b/>
      <w:bCs/>
      <w:color w:val="000000"/>
      <w:sz w:val="24"/>
      <w:szCs w:val="30"/>
      <w:lang w:val="en-GB"/>
    </w:rPr>
  </w:style>
  <w:style w:type="character" w:customStyle="1" w:styleId="AuthorChar">
    <w:name w:val="Author Char"/>
    <w:link w:val="Author"/>
    <w:rsid w:val="00D123C3"/>
    <w:rPr>
      <w:rFonts w:ascii="PT Serif" w:eastAsia="Times New Roman" w:hAnsi="PT Serif" w:cs="Times New Roman"/>
      <w:b/>
      <w:bCs/>
      <w:color w:val="000000"/>
      <w:sz w:val="24"/>
      <w:szCs w:val="30"/>
      <w:lang w:val="en-GB"/>
    </w:rPr>
  </w:style>
  <w:style w:type="paragraph" w:customStyle="1" w:styleId="Affiliation">
    <w:name w:val="Affiliation"/>
    <w:basedOn w:val="Normal"/>
    <w:link w:val="AffiliationChar"/>
    <w:qFormat/>
    <w:rsid w:val="00D123C3"/>
    <w:pPr>
      <w:spacing w:after="0" w:line="240" w:lineRule="auto"/>
      <w:ind w:left="113" w:hanging="113"/>
      <w:jc w:val="both"/>
    </w:pPr>
    <w:rPr>
      <w:rFonts w:ascii="PT Serif" w:eastAsia="Times New Roman" w:hAnsi="PT Serif" w:cs="Times New Roman"/>
      <w:i/>
      <w:szCs w:val="20"/>
    </w:rPr>
  </w:style>
  <w:style w:type="character" w:customStyle="1" w:styleId="AffiliationChar">
    <w:name w:val="Affiliation Char"/>
    <w:link w:val="Affiliation"/>
    <w:rsid w:val="00D123C3"/>
    <w:rPr>
      <w:rFonts w:ascii="PT Serif" w:eastAsia="Times New Roman" w:hAnsi="PT Serif" w:cs="Times New Roman"/>
      <w:i/>
      <w:szCs w:val="20"/>
    </w:rPr>
  </w:style>
  <w:style w:type="paragraph" w:customStyle="1" w:styleId="Cite">
    <w:name w:val="Cite"/>
    <w:basedOn w:val="Normal"/>
    <w:link w:val="CiteChar"/>
    <w:qFormat/>
    <w:rsid w:val="00D123C3"/>
    <w:pPr>
      <w:spacing w:after="0" w:line="216" w:lineRule="auto"/>
      <w:ind w:left="720" w:hanging="720"/>
      <w:jc w:val="both"/>
    </w:pPr>
    <w:rPr>
      <w:rFonts w:ascii="PT Serif" w:eastAsia="Times New Roman" w:hAnsi="PT Serif" w:cs="Times New Roman"/>
      <w:szCs w:val="16"/>
    </w:rPr>
  </w:style>
  <w:style w:type="character" w:customStyle="1" w:styleId="CiteChar">
    <w:name w:val="Cite Char"/>
    <w:link w:val="Cite"/>
    <w:rsid w:val="00D123C3"/>
    <w:rPr>
      <w:rFonts w:ascii="PT Serif" w:eastAsia="Times New Roman" w:hAnsi="PT Serif" w:cs="Times New Roman"/>
      <w:szCs w:val="16"/>
    </w:rPr>
  </w:style>
  <w:style w:type="paragraph" w:customStyle="1" w:styleId="Text">
    <w:name w:val="Text"/>
    <w:basedOn w:val="Normal"/>
    <w:link w:val="TextChar"/>
    <w:qFormat/>
    <w:rsid w:val="00D123C3"/>
    <w:pPr>
      <w:spacing w:after="0" w:line="240" w:lineRule="auto"/>
      <w:jc w:val="both"/>
    </w:pPr>
    <w:rPr>
      <w:rFonts w:ascii="PT Serif" w:eastAsia="Times New Roman" w:hAnsi="PT Serif" w:cs="Times New Roman"/>
      <w:sz w:val="20"/>
      <w:szCs w:val="20"/>
    </w:rPr>
  </w:style>
  <w:style w:type="character" w:customStyle="1" w:styleId="TextChar">
    <w:name w:val="Text Char"/>
    <w:link w:val="Text"/>
    <w:rsid w:val="00D123C3"/>
    <w:rPr>
      <w:rFonts w:ascii="PT Serif" w:eastAsia="Times New Roman" w:hAnsi="PT Serif" w:cs="Times New Roman"/>
      <w:sz w:val="20"/>
      <w:szCs w:val="20"/>
    </w:rPr>
  </w:style>
  <w:style w:type="paragraph" w:customStyle="1" w:styleId="Abstract">
    <w:name w:val="Abstract"/>
    <w:basedOn w:val="Normal"/>
    <w:link w:val="AbstractChar"/>
    <w:qFormat/>
    <w:rsid w:val="00D123C3"/>
    <w:pPr>
      <w:spacing w:after="0" w:line="216" w:lineRule="auto"/>
      <w:jc w:val="both"/>
    </w:pPr>
    <w:rPr>
      <w:rFonts w:ascii="PT Serif" w:eastAsia="Times New Roman" w:hAnsi="PT Serif" w:cs="Times New Roman"/>
      <w:color w:val="18202B"/>
      <w:sz w:val="24"/>
      <w:szCs w:val="20"/>
    </w:rPr>
  </w:style>
  <w:style w:type="character" w:customStyle="1" w:styleId="AbstractChar">
    <w:name w:val="Abstract Char"/>
    <w:link w:val="Abstract"/>
    <w:rsid w:val="00D123C3"/>
    <w:rPr>
      <w:rFonts w:ascii="PT Serif" w:eastAsia="Times New Roman" w:hAnsi="PT Serif" w:cs="Times New Roman"/>
      <w:color w:val="18202B"/>
      <w:sz w:val="24"/>
      <w:szCs w:val="20"/>
    </w:rPr>
  </w:style>
  <w:style w:type="paragraph" w:customStyle="1" w:styleId="Reference">
    <w:name w:val="Reference"/>
    <w:basedOn w:val="Normal"/>
    <w:link w:val="ReferenceChar"/>
    <w:qFormat/>
    <w:rsid w:val="00D123C3"/>
    <w:pPr>
      <w:widowControl w:val="0"/>
      <w:autoSpaceDE w:val="0"/>
      <w:autoSpaceDN w:val="0"/>
      <w:adjustRightInd w:val="0"/>
      <w:spacing w:after="240" w:line="240" w:lineRule="auto"/>
      <w:ind w:left="720" w:hanging="720"/>
      <w:jc w:val="both"/>
    </w:pPr>
    <w:rPr>
      <w:rFonts w:ascii="Times New Roman" w:eastAsia="Times New Roman" w:hAnsi="Times New Roman" w:cs="Times New Roman"/>
      <w:color w:val="000000"/>
      <w:sz w:val="24"/>
      <w:szCs w:val="24"/>
      <w:lang w:bidi="th-TH"/>
    </w:rPr>
  </w:style>
  <w:style w:type="character" w:customStyle="1" w:styleId="ReferenceChar">
    <w:name w:val="Reference Char"/>
    <w:link w:val="Reference"/>
    <w:rsid w:val="00D123C3"/>
    <w:rPr>
      <w:rFonts w:ascii="Times New Roman" w:eastAsia="Times New Roman" w:hAnsi="Times New Roman" w:cs="Times New Roman"/>
      <w:color w:val="000000"/>
      <w:sz w:val="24"/>
      <w:szCs w:val="24"/>
      <w:lang w:bidi="th-TH"/>
    </w:rPr>
  </w:style>
  <w:style w:type="paragraph" w:customStyle="1" w:styleId="FigureandTable">
    <w:name w:val="Figure and Table"/>
    <w:basedOn w:val="Normal"/>
    <w:link w:val="FigureandTableChar"/>
    <w:qFormat/>
    <w:rsid w:val="00D123C3"/>
    <w:pPr>
      <w:widowControl w:val="0"/>
      <w:autoSpaceDE w:val="0"/>
      <w:autoSpaceDN w:val="0"/>
      <w:adjustRightInd w:val="0"/>
      <w:spacing w:after="0" w:line="240" w:lineRule="auto"/>
      <w:jc w:val="center"/>
    </w:pPr>
    <w:rPr>
      <w:rFonts w:ascii="Times New Roman" w:eastAsia="Times New Roman" w:hAnsi="Times New Roman" w:cs="Times New Roman"/>
      <w:color w:val="0000FF"/>
      <w:sz w:val="24"/>
      <w:szCs w:val="24"/>
      <w:lang w:bidi="th-TH"/>
    </w:rPr>
  </w:style>
  <w:style w:type="character" w:customStyle="1" w:styleId="FigureandTableChar">
    <w:name w:val="Figure and Table Char"/>
    <w:link w:val="FigureandTable"/>
    <w:rsid w:val="00D123C3"/>
    <w:rPr>
      <w:rFonts w:ascii="Times New Roman" w:eastAsia="Times New Roman" w:hAnsi="Times New Roman" w:cs="Times New Roman"/>
      <w:color w:val="0000FF"/>
      <w:sz w:val="24"/>
      <w:szCs w:val="24"/>
      <w:lang w:bidi="th-TH"/>
    </w:rPr>
  </w:style>
  <w:style w:type="paragraph" w:customStyle="1" w:styleId="Reference2">
    <w:name w:val="Reference2"/>
    <w:basedOn w:val="Normal"/>
    <w:qFormat/>
    <w:rsid w:val="00D123C3"/>
    <w:pPr>
      <w:spacing w:line="240" w:lineRule="auto"/>
      <w:ind w:left="720" w:hanging="720"/>
      <w:jc w:val="both"/>
    </w:pPr>
    <w:rPr>
      <w:rFonts w:ascii="Times New Roman" w:eastAsia="Times New Roman" w:hAnsi="Times New Roman" w:cs="Times New Roman"/>
      <w:color w:val="000000"/>
      <w:sz w:val="23"/>
      <w:lang w:bidi="th-TH"/>
    </w:rPr>
  </w:style>
  <w:style w:type="character" w:customStyle="1" w:styleId="BodyChar">
    <w:name w:val="Body Char"/>
    <w:link w:val="Body"/>
    <w:rsid w:val="00D123C3"/>
    <w:rPr>
      <w:rFonts w:ascii="Times New Roman" w:eastAsia="Times New Roman" w:hAnsi="Times New Roman" w:cs="Times New Roman"/>
      <w:color w:val="000000"/>
      <w:sz w:val="24"/>
      <w:szCs w:val="24"/>
      <w:u w:color="000000"/>
      <w:bdr w:val="nil"/>
    </w:rPr>
  </w:style>
  <w:style w:type="paragraph" w:customStyle="1" w:styleId="NormalUiTMParagraph1">
    <w:name w:val="Normal UiTM Paragraph 1"/>
    <w:basedOn w:val="Normal"/>
    <w:link w:val="NormalUiTMParagraph1Char"/>
    <w:autoRedefine/>
    <w:uiPriority w:val="9"/>
    <w:qFormat/>
    <w:rsid w:val="00D123C3"/>
    <w:pPr>
      <w:widowControl w:val="0"/>
      <w:spacing w:after="0" w:line="360" w:lineRule="auto"/>
      <w:ind w:left="567" w:firstLine="567"/>
      <w:jc w:val="both"/>
    </w:pPr>
    <w:rPr>
      <w:rFonts w:ascii="Times New Roman" w:eastAsia="Times New Roman" w:hAnsi="Times New Roman" w:cs="Times New Roman"/>
      <w:sz w:val="24"/>
      <w:szCs w:val="24"/>
      <w:lang w:val="en-GB"/>
    </w:rPr>
  </w:style>
  <w:style w:type="character" w:customStyle="1" w:styleId="NormalUiTMParagraph1Char">
    <w:name w:val="Normal UiTM Paragraph 1 Char"/>
    <w:link w:val="NormalUiTMParagraph1"/>
    <w:uiPriority w:val="9"/>
    <w:rsid w:val="00D123C3"/>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58544">
      <w:bodyDiv w:val="1"/>
      <w:marLeft w:val="0"/>
      <w:marRight w:val="0"/>
      <w:marTop w:val="0"/>
      <w:marBottom w:val="0"/>
      <w:divBdr>
        <w:top w:val="none" w:sz="0" w:space="0" w:color="auto"/>
        <w:left w:val="none" w:sz="0" w:space="0" w:color="auto"/>
        <w:bottom w:val="none" w:sz="0" w:space="0" w:color="auto"/>
        <w:right w:val="none" w:sz="0" w:space="0" w:color="auto"/>
      </w:divBdr>
    </w:div>
    <w:div w:id="89090018">
      <w:bodyDiv w:val="1"/>
      <w:marLeft w:val="0"/>
      <w:marRight w:val="0"/>
      <w:marTop w:val="0"/>
      <w:marBottom w:val="0"/>
      <w:divBdr>
        <w:top w:val="none" w:sz="0" w:space="0" w:color="auto"/>
        <w:left w:val="none" w:sz="0" w:space="0" w:color="auto"/>
        <w:bottom w:val="none" w:sz="0" w:space="0" w:color="auto"/>
        <w:right w:val="none" w:sz="0" w:space="0" w:color="auto"/>
      </w:divBdr>
    </w:div>
    <w:div w:id="1252155968">
      <w:bodyDiv w:val="1"/>
      <w:marLeft w:val="0"/>
      <w:marRight w:val="0"/>
      <w:marTop w:val="0"/>
      <w:marBottom w:val="0"/>
      <w:divBdr>
        <w:top w:val="none" w:sz="0" w:space="0" w:color="auto"/>
        <w:left w:val="none" w:sz="0" w:space="0" w:color="auto"/>
        <w:bottom w:val="none" w:sz="0" w:space="0" w:color="auto"/>
        <w:right w:val="none" w:sz="0" w:space="0" w:color="auto"/>
      </w:divBdr>
    </w:div>
    <w:div w:id="1342661769">
      <w:bodyDiv w:val="1"/>
      <w:marLeft w:val="0"/>
      <w:marRight w:val="0"/>
      <w:marTop w:val="0"/>
      <w:marBottom w:val="0"/>
      <w:divBdr>
        <w:top w:val="none" w:sz="0" w:space="0" w:color="auto"/>
        <w:left w:val="none" w:sz="0" w:space="0" w:color="auto"/>
        <w:bottom w:val="none" w:sz="0" w:space="0" w:color="auto"/>
        <w:right w:val="none" w:sz="0" w:space="0" w:color="auto"/>
      </w:divBdr>
    </w:div>
    <w:div w:id="1539393441">
      <w:bodyDiv w:val="1"/>
      <w:marLeft w:val="0"/>
      <w:marRight w:val="0"/>
      <w:marTop w:val="0"/>
      <w:marBottom w:val="0"/>
      <w:divBdr>
        <w:top w:val="none" w:sz="0" w:space="0" w:color="auto"/>
        <w:left w:val="none" w:sz="0" w:space="0" w:color="auto"/>
        <w:bottom w:val="none" w:sz="0" w:space="0" w:color="auto"/>
        <w:right w:val="none" w:sz="0" w:space="0" w:color="auto"/>
      </w:divBdr>
    </w:div>
    <w:div w:id="1708410544">
      <w:bodyDiv w:val="1"/>
      <w:marLeft w:val="0"/>
      <w:marRight w:val="0"/>
      <w:marTop w:val="0"/>
      <w:marBottom w:val="0"/>
      <w:divBdr>
        <w:top w:val="none" w:sz="0" w:space="0" w:color="auto"/>
        <w:left w:val="none" w:sz="0" w:space="0" w:color="auto"/>
        <w:bottom w:val="none" w:sz="0" w:space="0" w:color="auto"/>
        <w:right w:val="none" w:sz="0" w:space="0" w:color="auto"/>
      </w:divBdr>
    </w:div>
    <w:div w:id="1854762626">
      <w:bodyDiv w:val="1"/>
      <w:marLeft w:val="0"/>
      <w:marRight w:val="0"/>
      <w:marTop w:val="0"/>
      <w:marBottom w:val="0"/>
      <w:divBdr>
        <w:top w:val="none" w:sz="0" w:space="0" w:color="auto"/>
        <w:left w:val="none" w:sz="0" w:space="0" w:color="auto"/>
        <w:bottom w:val="none" w:sz="0" w:space="0" w:color="auto"/>
        <w:right w:val="none" w:sz="0" w:space="0" w:color="auto"/>
      </w:divBdr>
    </w:div>
    <w:div w:id="189137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creativecommons.org/licences/by/4.0/legalcode"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910915217774941"/>
          <c:y val="0.1564672968887485"/>
          <c:w val="0.47247560903873131"/>
          <c:h val="0.72486229335946173"/>
        </c:manualLayout>
      </c:layout>
      <c:pieChart>
        <c:varyColors val="1"/>
        <c:ser>
          <c:idx val="0"/>
          <c:order val="0"/>
          <c:tx>
            <c:strRef>
              <c:f>Sheet1!$B$1</c:f>
              <c:strCache>
                <c:ptCount val="1"/>
                <c:pt idx="0">
                  <c:v>Percentage</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EF7-4E42-AA38-34551640039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EF7-4E42-AA38-34551640039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1EF7-4E42-AA38-34551640039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1EF7-4E42-AA38-34551640039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1EF7-4E42-AA38-345516400391}"/>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1EF7-4E42-AA38-345516400391}"/>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1EF7-4E42-AA38-345516400391}"/>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1EF7-4E42-AA38-345516400391}"/>
              </c:ext>
            </c:extLst>
          </c:dPt>
          <c:dLbls>
            <c:dLbl>
              <c:idx val="0"/>
              <c:layout>
                <c:manualLayout>
                  <c:x val="4.3704824340225247E-2"/>
                  <c:y val="1.70261066969353E-2"/>
                </c:manualLayout>
              </c:layout>
              <c:tx>
                <c:rich>
                  <a:bodyPr rot="0" spcFirstLastPara="1" vertOverflow="ellipsis" vert="horz" wrap="square" anchor="ctr" anchorCtr="1"/>
                  <a:lstStyle/>
                  <a:p>
                    <a:pPr>
                      <a:defRPr sz="1000" b="1" i="0" u="none" strike="noStrike" kern="1200" spc="0" baseline="0">
                        <a:solidFill>
                          <a:schemeClr val="accent1"/>
                        </a:solidFill>
                        <a:latin typeface="Times" pitchFamily="2" charset="0"/>
                        <a:ea typeface="+mn-ea"/>
                        <a:cs typeface="+mn-cs"/>
                      </a:defRPr>
                    </a:pPr>
                    <a:fld id="{AF8CF7FD-A70C-C345-ADE4-CD9285E2DB60}" type="CATEGORYNAME">
                      <a:rPr lang="en-US" sz="1000"/>
                      <a:pPr>
                        <a:defRPr sz="1000"/>
                      </a:pPr>
                      <a:t>[CATEGORY NAME]</a:t>
                    </a:fld>
                    <a:r>
                      <a:rPr lang="en-US" sz="1000"/>
                      <a:t>
</a:t>
                    </a:r>
                    <a:fld id="{594803CC-81CA-FB4B-8E67-1D6971C07333}" type="PERCENTAGE">
                      <a:rPr lang="en-US" sz="1000"/>
                      <a:pPr>
                        <a:defRPr sz="1000"/>
                      </a:pPr>
                      <a:t>[PERCENTAGE]</a:t>
                    </a:fld>
                    <a:endParaRPr lang="en-US" sz="1000"/>
                  </a:p>
                </c:rich>
              </c:tx>
              <c:spPr>
                <a:noFill/>
                <a:ln>
                  <a:noFill/>
                </a:ln>
                <a:effectLst/>
              </c:spPr>
              <c:txPr>
                <a:bodyPr rot="0" spcFirstLastPara="1" vertOverflow="ellipsis" vert="horz" wrap="square" anchor="ctr" anchorCtr="1"/>
                <a:lstStyle/>
                <a:p>
                  <a:pPr>
                    <a:defRPr sz="1000" b="1" i="0" u="none" strike="noStrike" kern="1200" spc="0" baseline="0">
                      <a:solidFill>
                        <a:schemeClr val="accent1"/>
                      </a:solidFill>
                      <a:latin typeface="Times" pitchFamily="2"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2499592997168849"/>
                      <c:h val="0.33921679909194097"/>
                    </c:manualLayout>
                  </c15:layout>
                  <c15:dlblFieldTable/>
                  <c15:showDataLabelsRange val="0"/>
                </c:ext>
                <c:ext xmlns:c16="http://schemas.microsoft.com/office/drawing/2014/chart" uri="{C3380CC4-5D6E-409C-BE32-E72D297353CC}">
                  <c16:uniqueId val="{00000001-1EF7-4E42-AA38-345516400391}"/>
                </c:ext>
              </c:extLst>
            </c:dLbl>
            <c:dLbl>
              <c:idx val="1"/>
              <c:spPr>
                <a:noFill/>
                <a:ln>
                  <a:noFill/>
                </a:ln>
                <a:effectLst/>
              </c:spPr>
              <c:txPr>
                <a:bodyPr rot="0" spcFirstLastPara="1" vertOverflow="ellipsis" vert="horz" wrap="square" anchor="ctr" anchorCtr="1"/>
                <a:lstStyle/>
                <a:p>
                  <a:pPr>
                    <a:defRPr sz="700" b="1" i="0" u="none" strike="noStrike" kern="1200" spc="0" baseline="0">
                      <a:solidFill>
                        <a:schemeClr val="accent2"/>
                      </a:solidFill>
                      <a:latin typeface="Times" pitchFamily="2" charset="0"/>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1EF7-4E42-AA38-345516400391}"/>
                </c:ext>
              </c:extLst>
            </c:dLbl>
            <c:dLbl>
              <c:idx val="2"/>
              <c:spPr>
                <a:noFill/>
                <a:ln>
                  <a:noFill/>
                </a:ln>
                <a:effectLst/>
              </c:spPr>
              <c:txPr>
                <a:bodyPr rot="0" spcFirstLastPara="1" vertOverflow="ellipsis" vert="horz" wrap="square" anchor="ctr" anchorCtr="1"/>
                <a:lstStyle/>
                <a:p>
                  <a:pPr>
                    <a:defRPr sz="700" b="1" i="0" u="none" strike="noStrike" kern="1200" spc="0" baseline="0">
                      <a:solidFill>
                        <a:schemeClr val="accent3"/>
                      </a:solidFill>
                      <a:latin typeface="Times" pitchFamily="2" charset="0"/>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1EF7-4E42-AA38-345516400391}"/>
                </c:ext>
              </c:extLst>
            </c:dLbl>
            <c:dLbl>
              <c:idx val="3"/>
              <c:spPr>
                <a:noFill/>
                <a:ln>
                  <a:noFill/>
                </a:ln>
                <a:effectLst/>
              </c:spPr>
              <c:txPr>
                <a:bodyPr rot="0" spcFirstLastPara="1" vertOverflow="ellipsis" vert="horz" wrap="square" anchor="ctr" anchorCtr="1"/>
                <a:lstStyle/>
                <a:p>
                  <a:pPr>
                    <a:defRPr sz="700" b="1" i="0" u="none" strike="noStrike" kern="1200" spc="0" baseline="0">
                      <a:solidFill>
                        <a:schemeClr val="accent4"/>
                      </a:solidFill>
                      <a:latin typeface="Times" pitchFamily="2" charset="0"/>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1EF7-4E42-AA38-345516400391}"/>
                </c:ext>
              </c:extLst>
            </c:dLbl>
            <c:dLbl>
              <c:idx val="4"/>
              <c:spPr>
                <a:noFill/>
                <a:ln>
                  <a:noFill/>
                </a:ln>
                <a:effectLst/>
              </c:spPr>
              <c:txPr>
                <a:bodyPr rot="0" spcFirstLastPara="1" vertOverflow="ellipsis" vert="horz" wrap="square" anchor="ctr" anchorCtr="1"/>
                <a:lstStyle/>
                <a:p>
                  <a:pPr>
                    <a:defRPr sz="700" b="1" i="0" u="none" strike="noStrike" kern="1200" spc="0" baseline="0">
                      <a:solidFill>
                        <a:schemeClr val="accent5"/>
                      </a:solidFill>
                      <a:latin typeface="Times" pitchFamily="2" charset="0"/>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1EF7-4E42-AA38-345516400391}"/>
                </c:ext>
              </c:extLst>
            </c:dLbl>
            <c:dLbl>
              <c:idx val="5"/>
              <c:spPr>
                <a:noFill/>
                <a:ln>
                  <a:noFill/>
                </a:ln>
                <a:effectLst/>
              </c:spPr>
              <c:txPr>
                <a:bodyPr rot="0" spcFirstLastPara="1" vertOverflow="ellipsis" vert="horz" wrap="square" anchor="ctr" anchorCtr="1"/>
                <a:lstStyle/>
                <a:p>
                  <a:pPr>
                    <a:defRPr sz="700" b="1" i="0" u="none" strike="noStrike" kern="1200" spc="0" baseline="0">
                      <a:solidFill>
                        <a:schemeClr val="accent6"/>
                      </a:solidFill>
                      <a:latin typeface="Times" pitchFamily="2" charset="0"/>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1EF7-4E42-AA38-345516400391}"/>
                </c:ext>
              </c:extLst>
            </c:dLbl>
            <c:dLbl>
              <c:idx val="6"/>
              <c:spPr>
                <a:noFill/>
                <a:ln>
                  <a:noFill/>
                </a:ln>
                <a:effectLst/>
              </c:spPr>
              <c:txPr>
                <a:bodyPr rot="0" spcFirstLastPara="1" vertOverflow="ellipsis" vert="horz" wrap="square" anchor="ctr" anchorCtr="1"/>
                <a:lstStyle/>
                <a:p>
                  <a:pPr>
                    <a:defRPr sz="700" b="1" i="0" u="none" strike="noStrike" kern="1200" spc="0" baseline="0">
                      <a:solidFill>
                        <a:schemeClr val="accent1">
                          <a:lumMod val="60000"/>
                        </a:schemeClr>
                      </a:solidFill>
                      <a:latin typeface="Times" pitchFamily="2" charset="0"/>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D-1EF7-4E42-AA38-345516400391}"/>
                </c:ext>
              </c:extLst>
            </c:dLbl>
            <c:dLbl>
              <c:idx val="7"/>
              <c:spPr>
                <a:noFill/>
                <a:ln>
                  <a:noFill/>
                </a:ln>
                <a:effectLst/>
              </c:spPr>
              <c:txPr>
                <a:bodyPr rot="0" spcFirstLastPara="1" vertOverflow="ellipsis" vert="horz" wrap="square" anchor="ctr" anchorCtr="1"/>
                <a:lstStyle/>
                <a:p>
                  <a:pPr>
                    <a:defRPr sz="700" b="1" i="0" u="none" strike="noStrike" kern="1200" spc="0" baseline="0">
                      <a:solidFill>
                        <a:schemeClr val="accent2">
                          <a:lumMod val="60000"/>
                        </a:schemeClr>
                      </a:solidFill>
                      <a:latin typeface="Times" pitchFamily="2" charset="0"/>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F-1EF7-4E42-AA38-345516400391}"/>
                </c:ext>
              </c:extLst>
            </c:dLbl>
            <c:dLbl>
              <c:idx val="8"/>
              <c:spPr>
                <a:noFill/>
                <a:ln>
                  <a:noFill/>
                </a:ln>
                <a:effectLst/>
              </c:spPr>
              <c:txPr>
                <a:bodyPr rot="0" spcFirstLastPara="1" vertOverflow="ellipsis" vert="horz" wrap="square" anchor="ctr" anchorCtr="1"/>
                <a:lstStyle/>
                <a:p>
                  <a:pPr>
                    <a:defRPr sz="700" b="1" i="0" u="none" strike="noStrike" kern="1200" spc="0" baseline="0">
                      <a:solidFill>
                        <a:schemeClr val="accent3">
                          <a:lumMod val="60000"/>
                        </a:schemeClr>
                      </a:solidFill>
                      <a:latin typeface="Times" pitchFamily="2" charset="0"/>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0-1EF7-4E42-AA38-345516400391}"/>
                </c:ext>
              </c:extLst>
            </c:dLbl>
            <c:spPr>
              <a:noFill/>
              <a:ln>
                <a:noFill/>
              </a:ln>
              <a:effectLst/>
            </c:spPr>
            <c:txPr>
              <a:bodyPr rot="0" spcFirstLastPara="1" vertOverflow="ellipsis" vert="horz" wrap="square" anchor="ctr" anchorCtr="1"/>
              <a:lstStyle/>
              <a:p>
                <a:pPr>
                  <a:defRPr sz="700" b="1" i="0" u="none" strike="noStrike" kern="1200" spc="0" baseline="0">
                    <a:solidFill>
                      <a:schemeClr val="accent1"/>
                    </a:solidFill>
                    <a:latin typeface="Times" pitchFamily="2" charset="0"/>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Banking and Finance</c:v>
                </c:pt>
                <c:pt idx="1">
                  <c:v>Agliculture</c:v>
                </c:pt>
                <c:pt idx="2">
                  <c:v>Mining</c:v>
                </c:pt>
                <c:pt idx="3">
                  <c:v>Chemistry</c:v>
                </c:pt>
                <c:pt idx="4">
                  <c:v>Various Industries</c:v>
                </c:pt>
                <c:pt idx="5">
                  <c:v>Consumer Goods</c:v>
                </c:pt>
                <c:pt idx="6">
                  <c:v>Property, Real Estate &amp; Construction</c:v>
                </c:pt>
                <c:pt idx="7">
                  <c:v>Infrastructure, Utility &amp; Transportation</c:v>
                </c:pt>
              </c:strCache>
            </c:strRef>
          </c:cat>
          <c:val>
            <c:numRef>
              <c:f>Sheet1!$B$2:$B$9</c:f>
              <c:numCache>
                <c:formatCode>0%</c:formatCode>
                <c:ptCount val="8"/>
                <c:pt idx="0">
                  <c:v>0.3</c:v>
                </c:pt>
                <c:pt idx="1">
                  <c:v>0.06</c:v>
                </c:pt>
                <c:pt idx="2">
                  <c:v>0.2</c:v>
                </c:pt>
                <c:pt idx="3">
                  <c:v>0.08</c:v>
                </c:pt>
                <c:pt idx="4">
                  <c:v>0.06</c:v>
                </c:pt>
                <c:pt idx="5">
                  <c:v>0.04</c:v>
                </c:pt>
                <c:pt idx="6">
                  <c:v>0.12</c:v>
                </c:pt>
                <c:pt idx="7">
                  <c:v>0.14000000000000001</c:v>
                </c:pt>
              </c:numCache>
            </c:numRef>
          </c:val>
          <c:extLst>
            <c:ext xmlns:c16="http://schemas.microsoft.com/office/drawing/2014/chart" uri="{C3380CC4-5D6E-409C-BE32-E72D297353CC}">
              <c16:uniqueId val="{00000011-1EF7-4E42-AA38-345516400391}"/>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Times" pitchFamily="2"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Beg17</b:Tag>
    <b:SourceType>JournalArticle</b:SourceType>
    <b:Guid>{3A2D327D-DBCB-44A0-BC64-CF68D49A50E1}</b:Guid>
    <b:Title>Eyewitness Misidentification: A Comparative Analysis Between the United States and England</b:Title>
    <b:Year>2017</b:Year>
    <b:Author>
      <b:Author>
        <b:NameList>
          <b:Person>
            <b:Last>Begakis</b:Last>
            <b:First>Christina</b:First>
          </b:Person>
        </b:NameList>
      </b:Author>
    </b:Author>
    <b:JournalName>Santa Clara Journal of International Law</b:JournalName>
    <b:Pages>175-195</b:Pages>
    <b:Volume>15</b:Volume>
    <b:Issue>2</b:Issue>
    <b:URL>https://digitalcommons.law.scu.edu/cgi/viewcontent.cgi?article=1222&amp;context=scujil</b:URL>
    <b:RefOrder>1</b:RefOrder>
  </b:Source>
  <b:Source>
    <b:Tag>Ber</b:Tag>
    <b:SourceType>Report</b:SourceType>
    <b:Guid>{488E444F-E2A4-451F-BCDE-EFDF501119FD}</b:Guid>
    <b:Author>
      <b:Author>
        <b:NameList>
          <b:Person>
            <b:Last>Berman</b:Last>
            <b:First>Marlee</b:First>
            <b:Middle>Kind</b:Middle>
          </b:Person>
        </b:NameList>
      </b:Author>
    </b:Author>
    <b:Title>Eyewitness Identification Jury Instructions: Do They Enhance Evidence Evaluation?</b:Title>
    <b:Year>2015</b:Year>
    <b:Publisher>CUNY Academic Works</b:Publisher>
    <b:City>New York</b:City>
    <b:URL>https://academicworks.cuny.edu/cgi/viewcontent.cgi?referer=https://www.google.com/&amp;httpsredir=1&amp;article=1874&amp;context=gc_etds</b:URL>
    <b:RefOrder>2</b:RefOrder>
  </b:Source>
  <b:Source>
    <b:Tag>Jon17</b:Tag>
    <b:SourceType>JournalArticle</b:SourceType>
    <b:Guid>{C8F134D7-3F68-470E-AEA1-B1FD475E2551}</b:Guid>
    <b:Author>
      <b:Author>
        <b:NameList>
          <b:Person>
            <b:Last>Jones</b:Last>
            <b:First>Angela</b:First>
            <b:Middle>M.</b:Middle>
          </b:Person>
          <b:Person>
            <b:Last>Bergold</b:Last>
            <b:First>Amanda</b:First>
            <b:Middle>N.</b:Middle>
          </b:Person>
          <b:Person>
            <b:Last>Dillon</b:Last>
            <b:First>Marlee</b:First>
            <b:Middle>Kind</b:Middle>
          </b:Person>
          <b:Person>
            <b:Last>Penrod</b:Last>
            <b:First>Steven</b:First>
            <b:Middle>D.</b:Middle>
          </b:Person>
        </b:NameList>
      </b:Author>
    </b:Author>
    <b:Title>Comparing the effectiveness of Henderson instructionsand expert testimony: Which safeguard improves jurors’evaluations of eyewitness evidence?</b:Title>
    <b:JournalName>Journal of Experimental Criminology</b:JournalName>
    <b:Year>2017</b:Year>
    <b:Pages>29-52</b:Pages>
    <b:Volume>13</b:Volume>
    <b:Issue>1</b:Issue>
    <b:DOI>10.1007/s11292-016-9279-6</b:DOI>
    <b:RefOrder>3</b:RefOrder>
  </b:Source>
  <b:Source>
    <b:Tag>Alb17</b:Tag>
    <b:SourceType>JournalArticle</b:SourceType>
    <b:Guid>{794D5834-51B5-4B48-8AAA-15EE5FC6342B}</b:Guid>
    <b:Title>Why eyewitnesses fail</b:Title>
    <b:Year>2017</b:Year>
    <b:Author>
      <b:Author>
        <b:NameList>
          <b:Person>
            <b:Last>Albright</b:Last>
            <b:First>Thomas</b:First>
            <b:Middle>D.</b:Middle>
          </b:Person>
        </b:NameList>
      </b:Author>
    </b:Author>
    <b:JournalName>Proceedings of the National Academy of Sciences of the United States of America</b:JournalName>
    <b:Pages>7758–7764</b:Pages>
    <b:Volume>114</b:Volume>
    <b:Issue>30</b:Issue>
    <b:DOI>10.1073/pnas.1706891114</b:DOI>
    <b:RefOrder>4</b:RefOrder>
  </b:Source>
  <b:Source>
    <b:Tag>War01</b:Tag>
    <b:SourceType>Report</b:SourceType>
    <b:Guid>{4266DE18-3690-4FF0-B477-7EBF388A3DCE}</b:Guid>
    <b:Title>How Mistaken and Perjured Eyewitness Identification Testimony Put 46 Innocent Americans on Death Row</b:Title>
    <b:Year>2001</b:Year>
    <b:Author>
      <b:Author>
        <b:NameList>
          <b:Person>
            <b:Last>Warden</b:Last>
            <b:First>Rob</b:First>
          </b:Person>
          <b:Person>
            <b:Last>Armbrust</b:Last>
            <b:First>Shawn</b:First>
            <b:Middle>M.</b:Middle>
          </b:Person>
          <b:Person>
            <b:Last>Linzer</b:Last>
            <b:First>Jennifer</b:First>
          </b:Person>
        </b:NameList>
      </b:Author>
    </b:Author>
    <b:Publisher>Andrews University</b:Publisher>
    <b:City>Michigan</b:City>
    <b:RefOrder>5</b:RefOrder>
  </b:Source>
  <b:Source>
    <b:Tag>Bea15</b:Tag>
    <b:SourceType>JournalArticle</b:SourceType>
    <b:Guid>{75A0C20E-8105-4987-939A-B8376AD86847}</b:Guid>
    <b:Author>
      <b:Author>
        <b:NameList>
          <b:Person>
            <b:Last>Beaudry</b:Last>
            <b:First>Jennifer</b:First>
            <b:Middle>L.</b:Middle>
          </b:Person>
          <b:Person>
            <b:Last>Lindsay</b:Last>
            <b:First>Roderick</b:First>
            <b:Middle>C. L.</b:Middle>
          </b:Person>
          <b:Person>
            <b:Last>Leach</b:Last>
            <b:First>Amy‐May</b:First>
          </b:Person>
          <b:Person>
            <b:Last>Mansour</b:Last>
            <b:First>Jamal</b:First>
            <b:Middle>K.</b:Middle>
          </b:Person>
          <b:Person>
            <b:Last>Bertrand</b:Last>
            <b:First>Michelle</b:First>
            <b:Middle>I.</b:Middle>
          </b:Person>
          <b:Person>
            <b:Last>Kalmet</b:Last>
            <b:First>Natalie</b:First>
          </b:Person>
        </b:NameList>
      </b:Author>
    </b:Author>
    <b:Title>The effect of evidence type, identification accuracy, line‐up presentation, and line‐up administration on observers' perceptions of eyewitnesses</b:Title>
    <b:JournalName>Legal and Criminology Psychology</b:JournalName>
    <b:Year>2015</b:Year>
    <b:Pages>343-364</b:Pages>
    <b:Volume>20</b:Volume>
    <b:Issue>2</b:Issue>
    <b:DOI>10.1111/lcrp.12030 </b:DOI>
    <b:RefOrder>6</b:RefOrder>
  </b:Source>
  <b:Source>
    <b:Tag>Wix17</b:Tag>
    <b:SourceType>JournalArticle</b:SourceType>
    <b:Guid>{9B6B632F-48B9-41BD-8F49-C3F10B906F08}</b:Guid>
    <b:Author>
      <b:Author>
        <b:NameList>
          <b:Person>
            <b:Last>Wixted</b:Last>
            <b:First>John</b:First>
            <b:Middle>T</b:Middle>
          </b:Person>
          <b:Person>
            <b:Last>Wells</b:Last>
            <b:First>Gary</b:First>
            <b:Middle>L</b:Middle>
          </b:Person>
        </b:NameList>
      </b:Author>
    </b:Author>
    <b:Title>Wixted, J. T., &amp; Wells, G. L. (2017). The relationship between eyewitness confidence and identification accuracy: A new synthesis.</b:Title>
    <b:JournalName>Psychological Science in the Public Interest</b:JournalName>
    <b:Year>2017</b:Year>
    <b:Pages>10-65</b:Pages>
    <b:Volume>18</b:Volume>
    <b:Issue>1</b:Issue>
    <b:RefOrder>2</b:RefOrder>
  </b:Source>
  <b:Source>
    <b:Tag>Wel14</b:Tag>
    <b:SourceType>JournalArticle</b:SourceType>
    <b:Guid>{D4F2B8A3-FE27-431B-8B8A-F532073323E0}</b:Guid>
    <b:Author>
      <b:Author>
        <b:NameList>
          <b:Person>
            <b:Last>Wells</b:Last>
            <b:First>Gary</b:First>
            <b:Middle>L</b:Middle>
          </b:Person>
        </b:NameList>
      </b:Author>
    </b:Author>
    <b:Title>Eyewitness Identification: Probative Value, Criterion Shifts, and Policy Regarding the Sequential Lineup</b:Title>
    <b:JournalName>Current Drections in Psychological Science</b:JournalName>
    <b:Year>2014</b:Year>
    <b:Pages>11-16</b:Pages>
    <b:Volume>23</b:Volume>
    <b:Issue>1</b:Issue>
    <b:RefOrder>22</b:RefOrder>
  </b:Source>
  <b:Source>
    <b:Tag>Wel16</b:Tag>
    <b:SourceType>JournalArticle</b:SourceType>
    <b:Guid>{137939D9-8884-434C-AD33-53A5EE92ED19}</b:Guid>
    <b:Author>
      <b:Author>
        <b:NameList>
          <b:Person>
            <b:Last>Wells</b:Last>
            <b:First>Gary</b:First>
          </b:Person>
          <b:Person>
            <b:Last>Quigley-McBride</b:Last>
            <b:First>A</b:First>
          </b:Person>
        </b:NameList>
      </b:Author>
    </b:Author>
    <b:Title>Applying eyewitness identification research to the legal system: A glance at where we have been and where we could go</b:Title>
    <b:JournalName>Journal of Applied Research in Memory and Recogition</b:JournalName>
    <b:Year>2016</b:Year>
    <b:Pages>290-294</b:Pages>
    <b:Volume>5</b:Volume>
    <b:Issue>3</b:Issue>
    <b:RefOrder>1</b:RefOrder>
  </b:Source>
  <b:Source>
    <b:Tag>Cow14</b:Tag>
    <b:SourceType>JournalArticle</b:SourceType>
    <b:Guid>{6E488640-48BE-42E5-975A-33CD0C9CBA11}</b:Guid>
    <b:Author>
      <b:Author>
        <b:NameList>
          <b:Person>
            <b:Last>Cowan</b:Last>
            <b:First>S</b:First>
          </b:Person>
          <b:Person>
            <b:Last>Read</b:Last>
            <b:First>J</b:First>
            <b:Middle>D</b:Middle>
          </b:Person>
          <b:Person>
            <b:Last>Lindsay</b:Last>
            <b:First>D</b:First>
            <b:Middle>S</b:Middle>
          </b:Person>
        </b:NameList>
      </b:Author>
    </b:Author>
    <b:Title>Predicting and postdicting eyewitness accuracy and confidence</b:Title>
    <b:JournalName>Jour al of Applied Research in Memory and Cognition</b:JournalName>
    <b:Year>2014</b:Year>
    <b:Pages>21-30</b:Pages>
    <b:Volume>3</b:Volume>
    <b:Issue>1</b:Issue>
    <b:RefOrder>4</b:RefOrder>
  </b:Source>
  <b:Source>
    <b:Tag>McR14</b:Tag>
    <b:SourceType>JournalArticle</b:SourceType>
    <b:Guid>{AC3D963D-07E4-4BC6-ACAC-5A220703D064}</b:Guid>
    <b:Author>
      <b:Author>
        <b:NameList>
          <b:Person>
            <b:Last>McRae</b:Last>
            <b:First>Kaichen</b:First>
          </b:Person>
        </b:NameList>
      </b:Author>
    </b:Author>
    <b:Title>Eyewitness memory for typical and atypical weapons in cognitive context.</b:Title>
    <b:JournalName>Journal of Investigative Psychology and Offender Profiling,</b:JournalName>
    <b:Year>2014</b:Year>
    <b:Pages>179-189</b:Pages>
    <b:Volume>11</b:Volume>
    <b:Issue>2</b:Issue>
    <b:RefOrder>3</b:RefOrder>
  </b:Source>
  <b:Source>
    <b:Tag>Placeholder1</b:Tag>
    <b:SourceType>JournalArticle</b:SourceType>
    <b:Guid>{F901B5D2-EC06-44EF-A8E3-BC169F14CBE3}</b:Guid>
    <b:Author>
      <b:Author>
        <b:NameList>
          <b:Person>
            <b:Last>Beaudry</b:Last>
            <b:First>J</b:First>
          </b:Person>
          <b:Person>
            <b:Last>Lindsay</b:Last>
            <b:First>R</b:First>
          </b:Person>
          <b:Person>
            <b:Last>Leach</b:Last>
            <b:First>A</b:First>
          </b:Person>
          <b:Person>
            <b:Last>Mansour</b:Last>
            <b:First>J</b:First>
          </b:Person>
          <b:Person>
            <b:Last>Bertrand</b:Last>
            <b:First>M</b:First>
          </b:Person>
          <b:Person>
            <b:Last>Kalmet</b:Last>
            <b:First>M</b:First>
          </b:Person>
        </b:NameList>
      </b:Author>
    </b:Author>
    <b:Title>The effect of evidence type, identification accuracy, line‐up presentation, and line‐up administration on observers' perceptions of eyewitnesses.</b:Title>
    <b:JournalName>Legal and Criminological Psychology</b:JournalName>
    <b:Year>2015</b:Year>
    <b:Pages>343-364</b:Pages>
    <b:Volume>20</b:Volume>
    <b:Issue>2</b:Issue>
    <b:RefOrder>5</b:RefOrder>
  </b:Source>
  <b:Source>
    <b:Tag>Car13</b:Tag>
    <b:SourceType>JournalArticle</b:SourceType>
    <b:Guid>{6EFB4C7F-C8D1-4528-A56D-902A113AC359}</b:Guid>
    <b:Author>
      <b:Author>
        <b:NameList>
          <b:Person>
            <b:Last>Carlson</b:Last>
            <b:First>C</b:First>
          </b:Person>
          <b:Person>
            <b:Last>Dias</b:Last>
            <b:First>J</b:First>
          </b:Person>
          <b:Person>
            <b:Last>Weatherford</b:Last>
            <b:First>D</b:First>
          </b:Person>
          <b:Person>
            <b:Last>Carlson</b:Last>
            <b:First>M</b:First>
          </b:Person>
        </b:NameList>
      </b:Author>
    </b:Author>
    <b:Title>An investigation of the weapon focus effect and the confidence–accuracy relationship for eyewitness identification</b:Title>
    <b:JournalName>Journal of Applied Research in Memory and Cognition</b:JournalName>
    <b:Year>2013</b:Year>
    <b:Pages>82-92</b:Pages>
    <b:Volume>6</b:Volume>
    <b:Issue>1</b:Issue>
    <b:RefOrder>6</b:RefOrder>
  </b:Source>
  <b:Source>
    <b:Tag>Hen17</b:Tag>
    <b:SourceType>JournalArticle</b:SourceType>
    <b:Guid>{31B30873-9C5D-4F64-AEE7-D673512EBE03}</b:Guid>
    <b:Author>
      <b:Author>
        <b:NameList>
          <b:Person>
            <b:Last>Henry</b:Last>
            <b:First>L</b:First>
          </b:Person>
          <b:Person>
            <b:Last>Messer</b:Last>
            <b:First>D</b:First>
          </b:Person>
          <b:Person>
            <b:Last>Wilcock</b:Last>
            <b:First>R</b:First>
          </b:Person>
          <b:Person>
            <b:Last>Nash</b:Last>
            <b:First>G</b:First>
          </b:Person>
          <b:Person>
            <b:Last>M</b:Last>
            <b:First>Kiirke-Smithe</b:First>
          </b:Person>
          <b:Person>
            <b:Last>Hobson</b:Last>
            <b:First>Z</b:First>
          </b:Person>
          <b:Person>
            <b:Last>Crane</b:Last>
            <b:First>L</b:First>
          </b:Person>
        </b:NameList>
      </b:Author>
    </b:Author>
    <b:Title>Do measures of memory, language, and attention predict eyewitness memory in children with and without autism?</b:Title>
    <b:JournalName>Autism &amp; Developmental Language Impairments,</b:JournalName>
    <b:Year>2017</b:Year>
    <b:Pages>44-68</b:Pages>
    <b:Volume>2</b:Volume>
    <b:Issue>1</b:Issue>
    <b:RefOrder>7</b:RefOrder>
  </b:Source>
  <b:Source>
    <b:Tag>Dah18</b:Tag>
    <b:SourceType>JournalArticle</b:SourceType>
    <b:Guid>{49EFE5D2-5104-4120-B1BE-0549663FB9CB}</b:Guid>
    <b:Author>
      <b:Author>
        <b:NameList>
          <b:Person>
            <b:Last>Dahl</b:Last>
            <b:First>M</b:First>
          </b:Person>
          <b:Person>
            <b:Last>Graner</b:Last>
            <b:First>S</b:First>
          </b:Person>
          <b:Person>
            <b:Last>Fransson</b:Last>
            <b:First>P</b:First>
          </b:Person>
          <b:Person>
            <b:Last>Bertillson</b:Last>
            <b:First>J</b:First>
          </b:Person>
          <b:Person>
            <b:Last>Fredricksson</b:Last>
            <b:First>P</b:First>
          </b:Person>
        </b:NameList>
      </b:Author>
    </b:Author>
    <b:Title>Analysis of eyewitness testimony in a police shooting with fatal outcome–manifestations of spatial and temporal distortions</b:Title>
    <b:JournalName>Cogent Psychology</b:JournalName>
    <b:Year>2018</b:Year>
    <b:Pages>1487271.</b:Pages>
    <b:RefOrder>8</b:RefOrder>
  </b:Source>
  <b:Source>
    <b:Tag>Sau16</b:Tag>
    <b:SourceType>JournalArticle</b:SourceType>
    <b:Guid>{F3FFAFC7-0D8B-471F-B5E6-CE812CB7E29D}</b:Guid>
    <b:Author>
      <b:Author>
        <b:NameList>
          <b:Person>
            <b:Last>Sauerland</b:Last>
            <b:First>M</b:First>
          </b:Person>
          <b:Person>
            <b:Last>Raymaekers</b:Last>
            <b:First>L</b:First>
          </b:Person>
          <b:Person>
            <b:Last>Otgaar</b:Last>
            <b:First>H</b:First>
          </b:Person>
          <b:Person>
            <b:Last>Memon</b:Last>
            <b:First>A</b:First>
          </b:Person>
        </b:NameList>
      </b:Author>
    </b:Author>
    <b:Title>Stress, stress‐induced cortisol responses, and eyewitness identification performance.</b:Title>
    <b:JournalName>Behavioral sciences &amp; the law,</b:JournalName>
    <b:Year>2016</b:Year>
    <b:Pages>580-594</b:Pages>
    <b:Volume>34</b:Volume>
    <b:Issue>4</b:Issue>
    <b:RefOrder>9</b:RefOrder>
  </b:Source>
  <b:Source>
    <b:Tag>Neu15</b:Tag>
    <b:SourceType>JournalArticle</b:SourceType>
    <b:Guid>{AA2AB8F0-131C-4273-A1E9-450152BA012A}</b:Guid>
    <b:Author>
      <b:Author>
        <b:NameList>
          <b:Person>
            <b:Last>Neuschatz</b:Last>
            <b:First>J</b:First>
          </b:Person>
          <b:Person>
            <b:Last>Wetmore</b:Last>
            <b:First>S</b:First>
          </b:Person>
          <b:Person>
            <b:Last>Gronlund</b:Last>
            <b:First>S</b:First>
          </b:Person>
        </b:NameList>
      </b:Author>
    </b:Author>
    <b:Title>Memory Gaps and Memory Errors</b:Title>
    <b:JournalName>Emerging Trends in the Social and Behavioral Sciences: An Interdisciplinary, Searchable, and Linkable Resource</b:JournalName>
    <b:Year>2015</b:Year>
    <b:Pages>1-13</b:Pages>
    <b:RefOrder>10</b:RefOrder>
  </b:Source>
  <b:Source>
    <b:Tag>SOb17</b:Tag>
    <b:SourceType>JournalArticle</b:SourceType>
    <b:Guid>{1FF87A93-B534-4FAE-A577-7E3B05DD7337}</b:Guid>
    <b:Author>
      <b:Author>
        <b:NameList>
          <b:Person>
            <b:Last>Obradovic</b:Last>
            <b:First>S</b:First>
          </b:Person>
        </b:NameList>
      </b:Author>
    </b:Author>
    <b:Title>Whose memory and why: A commentary on power and the construction of memory.</b:Title>
    <b:JournalName>Culture &amp; Psychology</b:JournalName>
    <b:Year>2017</b:Year>
    <b:Pages>208-216</b:Pages>
    <b:Volume>23</b:Volume>
    <b:Issue>2</b:Issue>
    <b:RefOrder>11</b:RefOrder>
  </b:Source>
  <b:Source>
    <b:Tag>McN16</b:Tag>
    <b:SourceType>JournalArticle</b:SourceType>
    <b:Guid>{94F46818-3DAF-4E94-8ECB-25234C9BBE8D}</b:Guid>
    <b:Author>
      <b:Author>
        <b:NameList>
          <b:Person>
            <b:Last>McNally</b:Last>
            <b:First>R</b:First>
            <b:Middle>J</b:Middle>
          </b:Person>
        </b:NameList>
      </b:Author>
    </b:Author>
    <b:Title>False memories in the laboratory and in life: Commentary on Brewin and Andrews</b:Title>
    <b:JournalName>Applied Cognitive Psychology,</b:JournalName>
    <b:Year>2016</b:Year>
    <b:Pages>40-41</b:Pages>
    <b:Volume>31</b:Volume>
    <b:Issue>1</b:Issue>
    <b:RefOrder>12</b:RefOrder>
  </b:Source>
  <b:Source>
    <b:Tag>Cha18</b:Tag>
    <b:SourceType>JournalArticle</b:SourceType>
    <b:Guid>{BBB69578-9FBF-4CA8-9F3A-29F7E2C735C6}</b:Guid>
    <b:Author>
      <b:Author>
        <b:NameList>
          <b:Person>
            <b:Last>Charman</b:Last>
            <b:First>S</b:First>
            <b:Middle>D</b:Middle>
          </b:Person>
          <b:Person>
            <b:Last>Carol</b:Last>
            <b:First>R</b:First>
            <b:Middle>N</b:Middle>
          </b:Person>
          <b:Person>
            <b:Last>Shwartz</b:Last>
            <b:First>S</b:First>
            <b:Middle>L</b:Middle>
          </b:Person>
        </b:NameList>
      </b:Author>
    </b:Author>
    <b:Title>The effect of biased lineup instructions on eyewitness identification confidence</b:Title>
    <b:JournalName>Applied Cognitive Psychology</b:JournalName>
    <b:Year>2018</b:Year>
    <b:Pages>287-297</b:Pages>
    <b:Volume>32</b:Volume>
    <b:Issue>3</b:Issue>
    <b:RefOrder>13</b:RefOrder>
  </b:Source>
  <b:Source>
    <b:Tag>McP14</b:Tag>
    <b:SourceType>JournalArticle</b:SourceType>
    <b:Guid>{1365DE76-A678-4D3D-B3A4-C6D1D7F78557}</b:Guid>
    <b:Author>
      <b:Author>
        <b:NameList>
          <b:Person>
            <b:Last>McPhee</b:Last>
            <b:First>I</b:First>
          </b:Person>
          <b:Person>
            <b:Last>Paterson</b:Last>
            <b:First>H</b:First>
            <b:Middle>M</b:Middle>
          </b:Person>
          <b:Person>
            <b:Last>Kemp</b:Last>
            <b:First>R</b:First>
            <b:Middle>I</b:Middle>
          </b:Person>
        </b:NameList>
      </b:Author>
    </b:Author>
    <b:Title>The Power of the Spoken Word: Can Spoken-Recall Enhance Eyewitness Evidence?</b:Title>
    <b:JournalName>Psychiatry, Psychology and Law</b:JournalName>
    <b:Year>2014</b:Year>
    <b:Pages>551-566</b:Pages>
    <b:Volume>21</b:Volume>
    <b:Issue>4</b:Issue>
    <b:RefOrder>14</b:RefOrder>
  </b:Source>
  <b:Source>
    <b:Tag>Ste14</b:Tag>
    <b:SourceType>JournalArticle</b:SourceType>
    <b:Guid>{563E8037-99C6-4F2A-88A8-CC0E8FF46397}</b:Guid>
    <b:Author>
      <b:Author>
        <b:NameList>
          <b:Person>
            <b:Last>Steblay</b:Last>
            <b:First>N</b:First>
            <b:Middle>K</b:Middle>
          </b:Person>
          <b:Person>
            <b:Last>Wells</b:Last>
            <b:First>G</b:First>
            <b:Middle>L</b:Middle>
          </b:Person>
          <b:Person>
            <b:Last>Douglass</b:Last>
            <b:First>A</b:First>
            <b:Middle>B</b:Middle>
          </b:Person>
        </b:NameList>
      </b:Author>
    </b:Author>
    <b:Title>Steblay, N. K., Wells, G. L., &amp; Douglass, A. B. (2014). The eyewitness post identification feedback effect 15 years later: Theoretical and policy implications.</b:Title>
    <b:JournalName>Psychology, Public Policy, and Law</b:JournalName>
    <b:Year>2014</b:Year>
    <b:Pages>1</b:Pages>
    <b:Volume>20</b:Volume>
    <b:Issue>1</b:Issue>
    <b:RefOrder>15</b:RefOrder>
  </b:Source>
  <b:Source>
    <b:Tag>Hag17</b:Tag>
    <b:SourceType>JournalArticle</b:SourceType>
    <b:Guid>{CE9853A0-4DA2-45C6-BCF0-36248AFBCC76}</b:Guid>
    <b:Author>
      <b:Author>
        <b:NameList>
          <b:Person>
            <b:Last>Hagsand</b:Last>
            <b:First>A</b:First>
            <b:Middle>V</b:Middle>
          </b:Person>
          <b:Person>
            <b:Last>Roos af Hjelmsater</b:Last>
            <b:First>E</b:First>
          </b:Person>
          <b:Person>
            <b:Last>Granhag</b:Last>
            <b:First>P</b:First>
            <b:Middle>A</b:Middle>
          </b:Person>
          <b:Person>
            <b:Last>Fahlke</b:Last>
            <b:First>C</b:First>
          </b:Person>
        </b:NameList>
      </b:Author>
    </b:Author>
    <b:Title>Witnesses stumbling down memory lane: The effects of alcohol intoxication, retention interval, and repeated interviewing.</b:Title>
    <b:JournalName>Memory</b:JournalName>
    <b:Year>2017</b:Year>
    <b:Pages>531-534</b:Pages>
    <b:Volume>25</b:Volume>
    <b:Issue>4</b:Issue>
    <b:RefOrder>17</b:RefOrder>
  </b:Source>
  <b:Source>
    <b:Tag>Sch17</b:Tag>
    <b:SourceType>JournalArticle</b:SourceType>
    <b:Guid>{2767E150-BEFE-484D-A84B-D143224F53DD}</b:Guid>
    <b:Author>
      <b:Author>
        <b:NameList>
          <b:Person>
            <b:Last>Schreiber Compo</b:Last>
            <b:First>,</b:First>
            <b:Middle>N</b:Middle>
          </b:Person>
          <b:Person>
            <b:Last>Carol</b:Last>
            <b:First>R</b:First>
            <b:Middle>N</b:Middle>
          </b:Person>
          <b:Person>
            <b:Last>Evans</b:Last>
            <b:First>J</b:First>
            <b:Middle>R</b:Middle>
          </b:Person>
          <b:Person>
            <b:Last>Pimentel</b:Last>
            <b:First>P</b:First>
          </b:Person>
        </b:NameList>
      </b:Author>
    </b:Author>
    <b:Title>Witness memory and alcohol: The effects of state-dependent recall.</b:Title>
    <b:JournalName>Law and Human Behavior</b:JournalName>
    <b:Year>2017</b:Year>
    <b:Pages>202</b:Pages>
    <b:Volume>41</b:Volume>
    <b:Issue>2</b:Issue>
    <b:RefOrder>18</b:RefOrder>
  </b:Source>
  <b:Source>
    <b:Tag>Sor17</b:Tag>
    <b:SourceType>JournalArticle</b:SourceType>
    <b:Guid>{8E65187D-740F-4B68-9F15-FB8DE9049906}</b:Guid>
    <b:Author>
      <b:Author>
        <b:NameList>
          <b:Person>
            <b:Last>Soraci</b:Last>
            <b:First>S</b:First>
            <b:Middle>A</b:Middle>
          </b:Person>
          <b:Person>
            <b:Last>Carlin</b:Last>
            <b:First>M</b:First>
            <b:Middle>T</b:Middle>
          </b:Person>
          <b:Person>
            <b:Last>Read</b:Last>
            <b:First>J</b:First>
            <b:Middle>D</b:Middle>
          </b:Person>
          <b:Person>
            <b:Last>Pogoda</b:Last>
            <b:First>T</b:First>
            <b:Middle>K</b:Middle>
          </b:Person>
        </b:NameList>
      </b:Author>
    </b:Author>
    <b:Title>Psychological impairment, eyewitness testimony and false memories: Individual differences.</b:Title>
    <b:JournalName>M Toglia, JD Read, DF Ross and RCL Lindsay, The Handbook of Eyewitness Psychology</b:JournalName>
    <b:Year>2017</b:Year>
    <b:Pages>23-32</b:Pages>
    <b:Volume>1</b:Volume>
    <b:Issue>1</b:Issue>
    <b:RefOrder>16</b:RefOrder>
  </b:Source>
  <b:Source>
    <b:Tag>Rea17</b:Tag>
    <b:SourceType>JournalArticle</b:SourceType>
    <b:Guid>{95E8A7FE-7E3E-44F7-ADA6-773B2F814838}</b:Guid>
    <b:Author>
      <b:Author>
        <b:NameList>
          <b:Person>
            <b:Last>Read</b:Last>
            <b:First>J</b:First>
            <b:Middle>D</b:Middle>
          </b:Person>
          <b:Person>
            <b:Last>Connolly</b:Last>
            <b:First>D</b:First>
            <b:Middle>A</b:Middle>
          </b:Person>
        </b:NameList>
      </b:Author>
    </b:Author>
    <b:Title>The effects of delay on long-term memory for witnessed events</b:Title>
    <b:JournalName>In The Handbook of Eyewitness Psychology</b:JournalName>
    <b:Year>2017</b:Year>
    <b:Pages>117-156</b:Pages>
    <b:Volume>1</b:Volume>
    <b:Issue>1</b:Issue>
    <b:RefOrder>19</b:RefOrder>
  </b:Source>
  <b:Source>
    <b:Tag>Jac14</b:Tag>
    <b:SourceType>JournalArticle</b:SourceType>
    <b:Guid>{FE125969-8C2D-45DA-BEFB-7CC020232C4C}</b:Guid>
    <b:Author>
      <b:Author>
        <b:NameList>
          <b:Person>
            <b:Last>Jack</b:Last>
            <b:First>F</b:First>
          </b:Person>
          <b:Person>
            <b:Last>Leov</b:Last>
            <b:First>J</b:First>
          </b:Person>
          <b:Person>
            <b:Last>Zajac</b:Last>
            <b:First>R</b:First>
          </b:Person>
        </b:NameList>
      </b:Author>
    </b:Author>
    <b:Title>Age‐related differences in the free‐recall accounts of child, adolescent, and adult witnesses.</b:Title>
    <b:JournalName>Applied Cognitive Psychology</b:JournalName>
    <b:Year>2014</b:Year>
    <b:Pages>30-38</b:Pages>
    <b:Volume>28</b:Volume>
    <b:Issue>1</b:Issue>
    <b:RefOrder>20</b:RefOrder>
  </b:Source>
  <b:Source>
    <b:Tag>Nah15</b:Tag>
    <b:SourceType>JournalArticle</b:SourceType>
    <b:Guid>{B54C9BD2-45D2-4470-947B-C3100C8A383D}</b:Guid>
    <b:Author>
      <b:Author>
        <b:NameList>
          <b:Person>
            <b:Last>Nahari</b:Last>
            <b:First>G</b:First>
          </b:Person>
          <b:Person>
            <b:Last>Pazuelo</b:Last>
            <b:First>M</b:First>
          </b:Person>
        </b:NameList>
      </b:Author>
    </b:Author>
    <b:Title>Telling a convincing story: Richness in detail as a function of gender and information.</b:Title>
    <b:JournalName>Journal of applied research in memory and cognition</b:JournalName>
    <b:Year>2015</b:Year>
    <b:Pages>363-367</b:Pages>
    <b:Volume>4</b:Volume>
    <b:Issue>4</b:Issue>
    <b:RefOrder>21</b:RefOrder>
  </b:Source>
</b:Sources>
</file>

<file path=customXml/itemProps1.xml><?xml version="1.0" encoding="utf-8"?>
<ds:datastoreItem xmlns:ds="http://schemas.openxmlformats.org/officeDocument/2006/customXml" ds:itemID="{96138E26-2CCA-43FB-80F6-DE1A186D2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7641</Words>
  <Characters>43559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Danial</dc:creator>
  <cp:keywords/>
  <dc:description/>
  <cp:lastModifiedBy>Publication Wing</cp:lastModifiedBy>
  <cp:revision>10</cp:revision>
  <cp:lastPrinted>2023-08-29T09:48:00Z</cp:lastPrinted>
  <dcterms:created xsi:type="dcterms:W3CDTF">2023-08-28T11:21:00Z</dcterms:created>
  <dcterms:modified xsi:type="dcterms:W3CDTF">2023-08-29T09:51:00Z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ba0cb17b-fa36-394f-bc74-8c0fe1b74bfa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