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40506" w14:textId="4E6B215B" w:rsidR="00F73E0F" w:rsidRPr="001B1F5F" w:rsidRDefault="00AF10E3" w:rsidP="00192F97">
      <w:pPr>
        <w:pStyle w:val="NoSpacing"/>
        <w:jc w:val="center"/>
        <w:rPr>
          <w:rFonts w:asciiTheme="minorHAnsi" w:hAnsiTheme="minorHAnsi" w:cstheme="minorHAnsi"/>
          <w:b/>
          <w:bCs/>
          <w:sz w:val="24"/>
          <w:szCs w:val="24"/>
        </w:rPr>
      </w:pPr>
      <w:r>
        <w:rPr>
          <w:rFonts w:asciiTheme="minorHAnsi" w:hAnsiTheme="minorHAnsi" w:cstheme="minorHAnsi"/>
          <w:b/>
          <w:bCs/>
          <w:sz w:val="24"/>
          <w:szCs w:val="24"/>
        </w:rPr>
        <w:t>External Factors and Conforming</w:t>
      </w:r>
      <w:r w:rsidR="008A6461" w:rsidRPr="001B1F5F">
        <w:rPr>
          <w:rFonts w:asciiTheme="minorHAnsi" w:hAnsiTheme="minorHAnsi" w:cstheme="minorHAnsi"/>
          <w:b/>
          <w:bCs/>
          <w:sz w:val="24"/>
          <w:szCs w:val="24"/>
        </w:rPr>
        <w:t xml:space="preserve"> Tax Avoidance</w:t>
      </w:r>
      <w:r>
        <w:rPr>
          <w:rFonts w:asciiTheme="minorHAnsi" w:hAnsiTheme="minorHAnsi" w:cstheme="minorHAnsi"/>
          <w:b/>
          <w:bCs/>
          <w:sz w:val="24"/>
          <w:szCs w:val="24"/>
        </w:rPr>
        <w:t xml:space="preserve"> – An Empirical Study in Indonesia</w:t>
      </w:r>
    </w:p>
    <w:p w14:paraId="13B9FFEC" w14:textId="77777777" w:rsidR="00605EDC" w:rsidRPr="001B1F5F" w:rsidRDefault="00605EDC" w:rsidP="00192F97">
      <w:pPr>
        <w:pStyle w:val="NoSpacing"/>
        <w:jc w:val="center"/>
        <w:rPr>
          <w:rFonts w:asciiTheme="minorHAnsi" w:hAnsiTheme="minorHAnsi" w:cstheme="minorHAnsi"/>
          <w:sz w:val="24"/>
          <w:szCs w:val="24"/>
        </w:rPr>
      </w:pPr>
    </w:p>
    <w:p w14:paraId="495F1911" w14:textId="77777777" w:rsidR="00F73E0F" w:rsidRPr="001B1F5F" w:rsidRDefault="00F73E0F" w:rsidP="000F5FDE">
      <w:pPr>
        <w:pStyle w:val="NoSpacing"/>
        <w:pBdr>
          <w:bottom w:val="single" w:sz="4" w:space="1" w:color="auto"/>
        </w:pBdr>
        <w:jc w:val="both"/>
        <w:rPr>
          <w:rFonts w:asciiTheme="minorHAnsi" w:hAnsiTheme="minorHAnsi" w:cstheme="minorHAnsi"/>
          <w:sz w:val="24"/>
          <w:szCs w:val="24"/>
        </w:rPr>
      </w:pPr>
      <w:bookmarkStart w:id="0" w:name="_GoBack"/>
      <w:bookmarkEnd w:id="0"/>
    </w:p>
    <w:p w14:paraId="60517937" w14:textId="77777777" w:rsidR="000F5FDE" w:rsidRPr="001B1F5F" w:rsidRDefault="000F5FDE" w:rsidP="00F73E0F">
      <w:pPr>
        <w:pStyle w:val="NoSpacing"/>
        <w:jc w:val="center"/>
        <w:rPr>
          <w:rFonts w:asciiTheme="minorHAnsi" w:hAnsiTheme="minorHAnsi" w:cstheme="minorHAnsi"/>
          <w:b/>
          <w:bCs/>
          <w:sz w:val="24"/>
          <w:szCs w:val="24"/>
        </w:rPr>
      </w:pPr>
    </w:p>
    <w:p w14:paraId="30A41D3B" w14:textId="77777777" w:rsidR="00453AE0" w:rsidRPr="001B1F5F" w:rsidRDefault="002B1908" w:rsidP="00F73E0F">
      <w:pPr>
        <w:pStyle w:val="NoSpacing"/>
        <w:jc w:val="center"/>
        <w:rPr>
          <w:rFonts w:asciiTheme="minorHAnsi" w:hAnsiTheme="minorHAnsi" w:cstheme="minorHAnsi"/>
          <w:b/>
          <w:bCs/>
          <w:sz w:val="24"/>
          <w:szCs w:val="24"/>
        </w:rPr>
      </w:pPr>
      <w:r w:rsidRPr="001B1F5F">
        <w:rPr>
          <w:rFonts w:asciiTheme="minorHAnsi" w:hAnsiTheme="minorHAnsi" w:cstheme="minorHAnsi"/>
          <w:b/>
          <w:bCs/>
          <w:sz w:val="24"/>
          <w:szCs w:val="24"/>
        </w:rPr>
        <w:t>Abstra</w:t>
      </w:r>
      <w:r w:rsidR="000F5FDE" w:rsidRPr="001B1F5F">
        <w:rPr>
          <w:rFonts w:asciiTheme="minorHAnsi" w:hAnsiTheme="minorHAnsi" w:cstheme="minorHAnsi"/>
          <w:b/>
          <w:bCs/>
          <w:sz w:val="24"/>
          <w:szCs w:val="24"/>
        </w:rPr>
        <w:t>ct</w:t>
      </w:r>
    </w:p>
    <w:p w14:paraId="230229A4" w14:textId="77777777" w:rsidR="00F73E0F" w:rsidRPr="001B1F5F" w:rsidRDefault="00F73E0F" w:rsidP="00F73E0F">
      <w:pPr>
        <w:pStyle w:val="NoSpacing"/>
        <w:jc w:val="center"/>
        <w:rPr>
          <w:rFonts w:asciiTheme="minorHAnsi" w:hAnsiTheme="minorHAnsi" w:cstheme="minorHAnsi"/>
          <w:b/>
          <w:bCs/>
          <w:sz w:val="24"/>
          <w:szCs w:val="24"/>
        </w:rPr>
      </w:pPr>
    </w:p>
    <w:p w14:paraId="2EC4281C" w14:textId="0E3B87AB" w:rsidR="00F73E0F" w:rsidRPr="00884AEF" w:rsidRDefault="00C50118" w:rsidP="00192F97">
      <w:pPr>
        <w:pStyle w:val="NoSpacing"/>
        <w:jc w:val="both"/>
        <w:rPr>
          <w:rFonts w:asciiTheme="minorHAnsi" w:hAnsiTheme="minorHAnsi" w:cstheme="minorHAnsi"/>
          <w:sz w:val="24"/>
          <w:szCs w:val="24"/>
          <w:lang w:val="en-ID"/>
        </w:rPr>
      </w:pPr>
      <w:r w:rsidRPr="001B1F5F">
        <w:rPr>
          <w:rFonts w:asciiTheme="minorHAnsi" w:hAnsiTheme="minorHAnsi" w:cstheme="minorHAnsi"/>
          <w:iCs/>
          <w:sz w:val="24"/>
          <w:szCs w:val="24"/>
        </w:rPr>
        <w:t>The purpose of this study is to investigate how</w:t>
      </w:r>
      <w:r w:rsidR="00605EDC" w:rsidRPr="001B1F5F">
        <w:rPr>
          <w:rFonts w:asciiTheme="minorHAnsi" w:hAnsiTheme="minorHAnsi" w:cstheme="minorHAnsi"/>
          <w:iCs/>
          <w:sz w:val="24"/>
          <w:szCs w:val="24"/>
        </w:rPr>
        <w:t xml:space="preserve"> tax law enforcement, related-party transactions, and external audit </w:t>
      </w:r>
      <w:r w:rsidRPr="001B1F5F">
        <w:rPr>
          <w:rFonts w:asciiTheme="minorHAnsi" w:hAnsiTheme="minorHAnsi" w:cstheme="minorHAnsi"/>
          <w:iCs/>
          <w:sz w:val="24"/>
          <w:szCs w:val="24"/>
        </w:rPr>
        <w:t>affect</w:t>
      </w:r>
      <w:r w:rsidR="00605EDC" w:rsidRPr="001B1F5F">
        <w:rPr>
          <w:rFonts w:asciiTheme="minorHAnsi" w:hAnsiTheme="minorHAnsi" w:cstheme="minorHAnsi"/>
          <w:iCs/>
          <w:sz w:val="24"/>
          <w:szCs w:val="24"/>
        </w:rPr>
        <w:t xml:space="preserve"> </w:t>
      </w:r>
      <w:r w:rsidR="00366EF7">
        <w:rPr>
          <w:rFonts w:asciiTheme="minorHAnsi" w:hAnsiTheme="minorHAnsi" w:cstheme="minorHAnsi"/>
          <w:iCs/>
          <w:sz w:val="24"/>
          <w:szCs w:val="24"/>
        </w:rPr>
        <w:t xml:space="preserve">conforming </w:t>
      </w:r>
      <w:r w:rsidR="00605EDC" w:rsidRPr="001B1F5F">
        <w:rPr>
          <w:rFonts w:asciiTheme="minorHAnsi" w:hAnsiTheme="minorHAnsi" w:cstheme="minorHAnsi"/>
          <w:iCs/>
          <w:sz w:val="24"/>
          <w:szCs w:val="24"/>
        </w:rPr>
        <w:t>tax avoidance.</w:t>
      </w:r>
      <w:r w:rsidR="0032109D" w:rsidRPr="001B1F5F">
        <w:rPr>
          <w:rFonts w:asciiTheme="minorHAnsi" w:hAnsiTheme="minorHAnsi" w:cstheme="minorHAnsi"/>
          <w:iCs/>
          <w:sz w:val="24"/>
          <w:szCs w:val="24"/>
        </w:rPr>
        <w:t xml:space="preserve"> T</w:t>
      </w:r>
      <w:r w:rsidR="00605EDC" w:rsidRPr="001B1F5F">
        <w:rPr>
          <w:rFonts w:asciiTheme="minorHAnsi" w:hAnsiTheme="minorHAnsi" w:cstheme="minorHAnsi"/>
          <w:iCs/>
          <w:sz w:val="24"/>
          <w:szCs w:val="24"/>
        </w:rPr>
        <w:t>his study employs a less commonly used m</w:t>
      </w:r>
      <w:r w:rsidR="001B1F5F" w:rsidRPr="001B1F5F">
        <w:rPr>
          <w:rFonts w:asciiTheme="minorHAnsi" w:hAnsiTheme="minorHAnsi" w:cstheme="minorHAnsi"/>
          <w:iCs/>
          <w:sz w:val="24"/>
          <w:szCs w:val="24"/>
        </w:rPr>
        <w:t>etric</w:t>
      </w:r>
      <w:r w:rsidR="00605EDC" w:rsidRPr="001B1F5F">
        <w:rPr>
          <w:rFonts w:asciiTheme="minorHAnsi" w:hAnsiTheme="minorHAnsi" w:cstheme="minorHAnsi"/>
          <w:iCs/>
          <w:sz w:val="24"/>
          <w:szCs w:val="24"/>
        </w:rPr>
        <w:t>, namely the tax payment-to-operating cash flow ratio</w:t>
      </w:r>
      <w:r w:rsidR="0032109D" w:rsidRPr="001B1F5F">
        <w:rPr>
          <w:rFonts w:asciiTheme="minorHAnsi" w:hAnsiTheme="minorHAnsi" w:cstheme="minorHAnsi"/>
          <w:iCs/>
          <w:sz w:val="24"/>
          <w:szCs w:val="24"/>
        </w:rPr>
        <w:t xml:space="preserve"> in measuring the level of </w:t>
      </w:r>
      <w:r w:rsidR="00AF10E3">
        <w:rPr>
          <w:rFonts w:asciiTheme="minorHAnsi" w:hAnsiTheme="minorHAnsi" w:cstheme="minorHAnsi"/>
          <w:iCs/>
          <w:sz w:val="24"/>
          <w:szCs w:val="24"/>
        </w:rPr>
        <w:t xml:space="preserve">conforming </w:t>
      </w:r>
      <w:r w:rsidR="0032109D" w:rsidRPr="001B1F5F">
        <w:rPr>
          <w:rFonts w:asciiTheme="minorHAnsi" w:hAnsiTheme="minorHAnsi" w:cstheme="minorHAnsi"/>
          <w:iCs/>
          <w:sz w:val="24"/>
          <w:szCs w:val="24"/>
        </w:rPr>
        <w:t>tax avoidance</w:t>
      </w:r>
      <w:r w:rsidR="00605EDC" w:rsidRPr="001B1F5F">
        <w:rPr>
          <w:rFonts w:asciiTheme="minorHAnsi" w:hAnsiTheme="minorHAnsi" w:cstheme="minorHAnsi"/>
          <w:iCs/>
          <w:sz w:val="24"/>
          <w:szCs w:val="24"/>
        </w:rPr>
        <w:t xml:space="preserve">. </w:t>
      </w:r>
      <w:r w:rsidRPr="001B1F5F">
        <w:rPr>
          <w:rFonts w:asciiTheme="minorHAnsi" w:hAnsiTheme="minorHAnsi" w:cstheme="minorHAnsi"/>
          <w:iCs/>
          <w:sz w:val="24"/>
          <w:szCs w:val="24"/>
        </w:rPr>
        <w:t>Using panel data regression analysis and a fixed effect model, the study looks at manufacturing companies that were listed between 2012 and 2021 on the Indonesia Stock Exchange.</w:t>
      </w:r>
      <w:r w:rsidR="00605EDC" w:rsidRPr="001B1F5F">
        <w:rPr>
          <w:rFonts w:asciiTheme="minorHAnsi" w:hAnsiTheme="minorHAnsi" w:cstheme="minorHAnsi"/>
          <w:iCs/>
          <w:sz w:val="24"/>
          <w:szCs w:val="24"/>
        </w:rPr>
        <w:t xml:space="preserve"> </w:t>
      </w:r>
      <w:r w:rsidRPr="001B1F5F">
        <w:rPr>
          <w:rFonts w:asciiTheme="minorHAnsi" w:hAnsiTheme="minorHAnsi" w:cstheme="minorHAnsi"/>
          <w:iCs/>
          <w:sz w:val="24"/>
          <w:szCs w:val="24"/>
        </w:rPr>
        <w:t>As independent factors, c</w:t>
      </w:r>
      <w:r w:rsidR="00605EDC" w:rsidRPr="001B1F5F">
        <w:rPr>
          <w:rFonts w:asciiTheme="minorHAnsi" w:hAnsiTheme="minorHAnsi" w:cstheme="minorHAnsi"/>
          <w:iCs/>
          <w:sz w:val="24"/>
          <w:szCs w:val="24"/>
        </w:rPr>
        <w:t>ontrol variables</w:t>
      </w:r>
      <w:r w:rsidRPr="001B1F5F">
        <w:rPr>
          <w:rFonts w:asciiTheme="minorHAnsi" w:hAnsiTheme="minorHAnsi" w:cstheme="minorHAnsi"/>
          <w:iCs/>
          <w:sz w:val="24"/>
          <w:szCs w:val="24"/>
        </w:rPr>
        <w:t xml:space="preserve"> including </w:t>
      </w:r>
      <w:r w:rsidR="00605EDC" w:rsidRPr="001B1F5F">
        <w:rPr>
          <w:rFonts w:asciiTheme="minorHAnsi" w:hAnsiTheme="minorHAnsi" w:cstheme="minorHAnsi"/>
          <w:iCs/>
          <w:sz w:val="24"/>
          <w:szCs w:val="24"/>
        </w:rPr>
        <w:t>company size, leverage, profitability, and asset mix, are included. The results indicate that tax law enforcement, related-party transactions, and external audit do not significant</w:t>
      </w:r>
      <w:r w:rsidR="00EA51C6" w:rsidRPr="001B1F5F">
        <w:rPr>
          <w:rFonts w:asciiTheme="minorHAnsi" w:hAnsiTheme="minorHAnsi" w:cstheme="minorHAnsi"/>
          <w:iCs/>
          <w:sz w:val="24"/>
          <w:szCs w:val="24"/>
        </w:rPr>
        <w:t xml:space="preserve">ly affect </w:t>
      </w:r>
      <w:r w:rsidR="00366EF7">
        <w:rPr>
          <w:rFonts w:asciiTheme="minorHAnsi" w:hAnsiTheme="minorHAnsi" w:cstheme="minorHAnsi"/>
          <w:iCs/>
          <w:sz w:val="24"/>
          <w:szCs w:val="24"/>
        </w:rPr>
        <w:t xml:space="preserve">conforming </w:t>
      </w:r>
      <w:r w:rsidR="00605EDC" w:rsidRPr="001B1F5F">
        <w:rPr>
          <w:rFonts w:asciiTheme="minorHAnsi" w:hAnsiTheme="minorHAnsi" w:cstheme="minorHAnsi"/>
          <w:iCs/>
          <w:sz w:val="24"/>
          <w:szCs w:val="24"/>
        </w:rPr>
        <w:t xml:space="preserve">tax avoidance practices. Meanwhile, </w:t>
      </w:r>
      <w:r w:rsidR="00366EF7">
        <w:rPr>
          <w:rFonts w:asciiTheme="minorHAnsi" w:hAnsiTheme="minorHAnsi" w:cstheme="minorHAnsi"/>
          <w:iCs/>
          <w:sz w:val="24"/>
          <w:szCs w:val="24"/>
        </w:rPr>
        <w:t xml:space="preserve">conforming </w:t>
      </w:r>
      <w:r w:rsidR="00EA51C6" w:rsidRPr="001B1F5F">
        <w:rPr>
          <w:rFonts w:asciiTheme="minorHAnsi" w:hAnsiTheme="minorHAnsi" w:cstheme="minorHAnsi"/>
          <w:iCs/>
          <w:sz w:val="24"/>
          <w:szCs w:val="24"/>
        </w:rPr>
        <w:t xml:space="preserve">tax avoidance is significantly impacted by </w:t>
      </w:r>
      <w:r w:rsidR="00605EDC" w:rsidRPr="001B1F5F">
        <w:rPr>
          <w:rFonts w:asciiTheme="minorHAnsi" w:hAnsiTheme="minorHAnsi" w:cstheme="minorHAnsi"/>
          <w:iCs/>
          <w:sz w:val="24"/>
          <w:szCs w:val="24"/>
        </w:rPr>
        <w:t xml:space="preserve">control </w:t>
      </w:r>
      <w:r w:rsidR="00EA51C6" w:rsidRPr="001B1F5F">
        <w:rPr>
          <w:rFonts w:asciiTheme="minorHAnsi" w:hAnsiTheme="minorHAnsi" w:cstheme="minorHAnsi"/>
          <w:iCs/>
          <w:sz w:val="24"/>
          <w:szCs w:val="24"/>
        </w:rPr>
        <w:t>characteristics</w:t>
      </w:r>
      <w:r w:rsidR="00605EDC" w:rsidRPr="001B1F5F">
        <w:rPr>
          <w:rFonts w:asciiTheme="minorHAnsi" w:hAnsiTheme="minorHAnsi" w:cstheme="minorHAnsi"/>
          <w:iCs/>
          <w:sz w:val="24"/>
          <w:szCs w:val="24"/>
        </w:rPr>
        <w:t xml:space="preserve"> like company size and leverage</w:t>
      </w:r>
      <w:r w:rsidR="00EA51C6" w:rsidRPr="001B1F5F">
        <w:rPr>
          <w:rFonts w:asciiTheme="minorHAnsi" w:hAnsiTheme="minorHAnsi" w:cstheme="minorHAnsi"/>
          <w:iCs/>
          <w:sz w:val="24"/>
          <w:szCs w:val="24"/>
        </w:rPr>
        <w:t>.</w:t>
      </w:r>
      <w:r w:rsidR="00605EDC" w:rsidRPr="001B1F5F">
        <w:rPr>
          <w:rFonts w:asciiTheme="minorHAnsi" w:hAnsiTheme="minorHAnsi" w:cstheme="minorHAnsi"/>
          <w:iCs/>
          <w:sz w:val="24"/>
          <w:szCs w:val="24"/>
        </w:rPr>
        <w:t xml:space="preserve"> </w:t>
      </w:r>
      <w:r w:rsidR="007642CF">
        <w:rPr>
          <w:rFonts w:asciiTheme="minorHAnsi" w:hAnsiTheme="minorHAnsi" w:cstheme="minorHAnsi"/>
          <w:iCs/>
          <w:sz w:val="24"/>
          <w:szCs w:val="24"/>
        </w:rPr>
        <w:t>The author</w:t>
      </w:r>
      <w:r w:rsidR="00884AEF">
        <w:rPr>
          <w:rFonts w:asciiTheme="minorHAnsi" w:hAnsiTheme="minorHAnsi" w:cstheme="minorHAnsi"/>
          <w:iCs/>
          <w:sz w:val="24"/>
          <w:szCs w:val="24"/>
        </w:rPr>
        <w:t>s</w:t>
      </w:r>
      <w:r w:rsidR="007642CF">
        <w:rPr>
          <w:rFonts w:asciiTheme="minorHAnsi" w:hAnsiTheme="minorHAnsi" w:cstheme="minorHAnsi"/>
          <w:iCs/>
          <w:sz w:val="24"/>
          <w:szCs w:val="24"/>
        </w:rPr>
        <w:t xml:space="preserve"> suspect that</w:t>
      </w:r>
      <w:r w:rsidR="00884AEF">
        <w:rPr>
          <w:rFonts w:asciiTheme="minorHAnsi" w:hAnsiTheme="minorHAnsi" w:cstheme="minorHAnsi"/>
          <w:iCs/>
          <w:sz w:val="24"/>
          <w:szCs w:val="24"/>
        </w:rPr>
        <w:t xml:space="preserve"> the</w:t>
      </w:r>
      <w:r w:rsidR="007642CF">
        <w:rPr>
          <w:rFonts w:asciiTheme="minorHAnsi" w:hAnsiTheme="minorHAnsi" w:cstheme="minorHAnsi"/>
          <w:iCs/>
          <w:sz w:val="24"/>
          <w:szCs w:val="24"/>
        </w:rPr>
        <w:t xml:space="preserve"> </w:t>
      </w:r>
      <w:r w:rsidR="00884AEF">
        <w:rPr>
          <w:rFonts w:asciiTheme="minorHAnsi" w:hAnsiTheme="minorHAnsi" w:cstheme="minorHAnsi"/>
          <w:iCs/>
          <w:sz w:val="24"/>
          <w:szCs w:val="24"/>
        </w:rPr>
        <w:t>tax amnesty program initiated by the government during the research period</w:t>
      </w:r>
      <w:r w:rsidR="00CB4EC0">
        <w:rPr>
          <w:rFonts w:asciiTheme="minorHAnsi" w:hAnsiTheme="minorHAnsi" w:cstheme="minorHAnsi"/>
          <w:iCs/>
          <w:sz w:val="24"/>
          <w:szCs w:val="24"/>
        </w:rPr>
        <w:t xml:space="preserve"> </w:t>
      </w:r>
      <w:r w:rsidR="007642CF" w:rsidRPr="001B1F5F">
        <w:rPr>
          <w:rFonts w:asciiTheme="minorHAnsi" w:hAnsiTheme="minorHAnsi" w:cstheme="minorHAnsi"/>
          <w:sz w:val="24"/>
          <w:szCs w:val="24"/>
          <w:lang w:val="en-ID"/>
        </w:rPr>
        <w:t>could influence the study's results due to the amnesty's provisions for penalty waiver and cessation of tax inspections for participating taxpayers.</w:t>
      </w:r>
      <w:r w:rsidR="00884AEF">
        <w:rPr>
          <w:rFonts w:asciiTheme="minorHAnsi" w:hAnsiTheme="minorHAnsi" w:cstheme="minorHAnsi"/>
          <w:sz w:val="24"/>
          <w:szCs w:val="24"/>
          <w:lang w:val="en-ID"/>
        </w:rPr>
        <w:t xml:space="preserve"> </w:t>
      </w:r>
      <w:r w:rsidR="00EA51C6" w:rsidRPr="001B1F5F">
        <w:rPr>
          <w:rFonts w:asciiTheme="minorHAnsi" w:hAnsiTheme="minorHAnsi" w:cstheme="minorHAnsi"/>
          <w:iCs/>
          <w:sz w:val="24"/>
          <w:szCs w:val="24"/>
        </w:rPr>
        <w:t xml:space="preserve">This study adds to the body of studies on tax avoidance by </w:t>
      </w:r>
      <w:r w:rsidR="00605EDC" w:rsidRPr="001B1F5F">
        <w:rPr>
          <w:rFonts w:asciiTheme="minorHAnsi" w:hAnsiTheme="minorHAnsi" w:cstheme="minorHAnsi"/>
          <w:iCs/>
          <w:sz w:val="24"/>
          <w:szCs w:val="24"/>
        </w:rPr>
        <w:t>exploring a relatively under-researched metric.</w:t>
      </w:r>
    </w:p>
    <w:p w14:paraId="78D59BB1" w14:textId="77777777" w:rsidR="007642CF" w:rsidRPr="001B1F5F" w:rsidRDefault="007642CF" w:rsidP="00192F97">
      <w:pPr>
        <w:pStyle w:val="NoSpacing"/>
        <w:jc w:val="both"/>
        <w:rPr>
          <w:rFonts w:asciiTheme="minorHAnsi" w:hAnsiTheme="minorHAnsi" w:cstheme="minorHAnsi"/>
          <w:iCs/>
          <w:sz w:val="24"/>
          <w:szCs w:val="24"/>
        </w:rPr>
      </w:pPr>
    </w:p>
    <w:p w14:paraId="364381F4" w14:textId="1BE4DE96" w:rsidR="002B1908" w:rsidRPr="001B1F5F" w:rsidRDefault="000F5FDE" w:rsidP="00E407CE">
      <w:pPr>
        <w:pStyle w:val="NoSpacing"/>
        <w:pBdr>
          <w:bottom w:val="single" w:sz="4" w:space="1" w:color="auto"/>
        </w:pBdr>
        <w:jc w:val="both"/>
        <w:rPr>
          <w:rFonts w:asciiTheme="minorHAnsi" w:hAnsiTheme="minorHAnsi" w:cstheme="minorHAnsi"/>
          <w:iCs/>
          <w:sz w:val="24"/>
          <w:szCs w:val="24"/>
        </w:rPr>
      </w:pPr>
      <w:r w:rsidRPr="001B1F5F">
        <w:rPr>
          <w:rFonts w:asciiTheme="minorHAnsi" w:hAnsiTheme="minorHAnsi" w:cstheme="minorHAnsi"/>
          <w:iCs/>
          <w:sz w:val="24"/>
          <w:szCs w:val="24"/>
        </w:rPr>
        <w:t>Keywords</w:t>
      </w:r>
      <w:r w:rsidR="002B1908" w:rsidRPr="001B1F5F">
        <w:rPr>
          <w:rFonts w:asciiTheme="minorHAnsi" w:hAnsiTheme="minorHAnsi" w:cstheme="minorHAnsi"/>
          <w:iCs/>
          <w:sz w:val="24"/>
          <w:szCs w:val="24"/>
        </w:rPr>
        <w:t xml:space="preserve">: </w:t>
      </w:r>
      <w:r w:rsidR="00605EDC" w:rsidRPr="001B1F5F">
        <w:rPr>
          <w:rFonts w:asciiTheme="minorHAnsi" w:hAnsiTheme="minorHAnsi" w:cstheme="minorHAnsi"/>
          <w:iCs/>
          <w:sz w:val="24"/>
          <w:szCs w:val="24"/>
        </w:rPr>
        <w:t>enforcement, related-party transactions, external audit, conforming, tax avoidance</w:t>
      </w:r>
    </w:p>
    <w:p w14:paraId="56DD47EE" w14:textId="77777777" w:rsidR="008E4EAE" w:rsidRPr="001B1F5F" w:rsidRDefault="008E4EAE" w:rsidP="00192F97">
      <w:pPr>
        <w:pStyle w:val="NoSpacing"/>
        <w:jc w:val="both"/>
        <w:rPr>
          <w:rFonts w:asciiTheme="minorHAnsi" w:hAnsiTheme="minorHAnsi" w:cstheme="minorHAnsi"/>
          <w:sz w:val="24"/>
          <w:szCs w:val="24"/>
        </w:rPr>
      </w:pPr>
    </w:p>
    <w:p w14:paraId="021D4A95" w14:textId="77777777" w:rsidR="002B1908" w:rsidRPr="001B1F5F" w:rsidRDefault="0018729A" w:rsidP="00F73E0F">
      <w:pPr>
        <w:pStyle w:val="NoSpacing"/>
        <w:spacing w:after="120"/>
        <w:jc w:val="both"/>
        <w:rPr>
          <w:rFonts w:asciiTheme="minorHAnsi" w:hAnsiTheme="minorHAnsi" w:cstheme="minorHAnsi"/>
          <w:b/>
          <w:sz w:val="24"/>
          <w:szCs w:val="24"/>
        </w:rPr>
      </w:pPr>
      <w:r w:rsidRPr="001B1F5F">
        <w:rPr>
          <w:rFonts w:asciiTheme="minorHAnsi" w:hAnsiTheme="minorHAnsi" w:cstheme="minorHAnsi"/>
          <w:b/>
          <w:sz w:val="24"/>
          <w:szCs w:val="24"/>
        </w:rPr>
        <w:t>INTRODUCTION</w:t>
      </w:r>
    </w:p>
    <w:p w14:paraId="7D0D7C74" w14:textId="056979D9" w:rsidR="00DB1A14" w:rsidRPr="001B1F5F" w:rsidRDefault="000809DA" w:rsidP="00D14014">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The state's revenue collection from the tax sector in Indonesia has shown an unsatisfactory trend. During the period from 2010 to 2020, the tax authority, </w:t>
      </w:r>
      <w:r w:rsidR="00DB1A14" w:rsidRPr="001B1F5F">
        <w:rPr>
          <w:rFonts w:asciiTheme="minorHAnsi" w:hAnsiTheme="minorHAnsi" w:cstheme="minorHAnsi"/>
          <w:sz w:val="24"/>
          <w:szCs w:val="24"/>
          <w:lang w:val="en-ID"/>
        </w:rPr>
        <w:t xml:space="preserve">the Directorate General of Taxation </w:t>
      </w:r>
      <w:r w:rsidRPr="001B1F5F">
        <w:rPr>
          <w:rFonts w:asciiTheme="minorHAnsi" w:hAnsiTheme="minorHAnsi" w:cstheme="minorHAnsi"/>
          <w:sz w:val="24"/>
          <w:szCs w:val="24"/>
          <w:lang w:val="en-ID"/>
        </w:rPr>
        <w:t xml:space="preserve">consistently failed to </w:t>
      </w:r>
      <w:r w:rsidR="006C374E">
        <w:rPr>
          <w:rFonts w:asciiTheme="minorHAnsi" w:hAnsiTheme="minorHAnsi" w:cstheme="minorHAnsi"/>
          <w:sz w:val="24"/>
          <w:szCs w:val="24"/>
          <w:lang w:val="en-ID"/>
        </w:rPr>
        <w:t>exceed</w:t>
      </w:r>
      <w:r w:rsidRPr="001B1F5F">
        <w:rPr>
          <w:rFonts w:asciiTheme="minorHAnsi" w:hAnsiTheme="minorHAnsi" w:cstheme="minorHAnsi"/>
          <w:sz w:val="24"/>
          <w:szCs w:val="24"/>
          <w:lang w:val="en-ID"/>
        </w:rPr>
        <w:t xml:space="preserve"> the set revenue targets. Moreover, during this period, the tax ratio remained significantly lower </w:t>
      </w:r>
      <w:r w:rsidR="00DB1A14" w:rsidRPr="001B1F5F">
        <w:rPr>
          <w:rFonts w:asciiTheme="minorHAnsi" w:hAnsiTheme="minorHAnsi" w:cstheme="minorHAnsi"/>
          <w:sz w:val="24"/>
          <w:szCs w:val="24"/>
          <w:lang w:val="en-ID"/>
        </w:rPr>
        <w:t>in</w:t>
      </w:r>
      <w:r w:rsidRPr="001B1F5F">
        <w:rPr>
          <w:rFonts w:asciiTheme="minorHAnsi" w:hAnsiTheme="minorHAnsi" w:cstheme="minorHAnsi"/>
          <w:sz w:val="24"/>
          <w:szCs w:val="24"/>
          <w:lang w:val="en-ID"/>
        </w:rPr>
        <w:t xml:space="preserve"> </w:t>
      </w:r>
      <w:proofErr w:type="spellStart"/>
      <w:r w:rsidR="003D26C5" w:rsidRPr="001B1F5F">
        <w:rPr>
          <w:rFonts w:asciiTheme="minorHAnsi" w:hAnsiTheme="minorHAnsi" w:cstheme="minorHAnsi"/>
          <w:sz w:val="24"/>
          <w:szCs w:val="24"/>
          <w:lang w:val="en-ID"/>
        </w:rPr>
        <w:t>neighboring</w:t>
      </w:r>
      <w:proofErr w:type="spellEnd"/>
      <w:r w:rsidRPr="001B1F5F">
        <w:rPr>
          <w:rFonts w:asciiTheme="minorHAnsi" w:hAnsiTheme="minorHAnsi" w:cstheme="minorHAnsi"/>
          <w:sz w:val="24"/>
          <w:szCs w:val="24"/>
          <w:lang w:val="en-ID"/>
        </w:rPr>
        <w:t xml:space="preserve"> countries. </w:t>
      </w:r>
      <w:r w:rsidR="00DB1A14" w:rsidRPr="001B1F5F">
        <w:rPr>
          <w:rFonts w:asciiTheme="minorHAnsi" w:hAnsiTheme="minorHAnsi" w:cstheme="minorHAnsi"/>
          <w:sz w:val="24"/>
          <w:szCs w:val="24"/>
          <w:lang w:val="en-ID"/>
        </w:rPr>
        <w:t>A commonly used indicator to assess a nation's ability to collect taxes is the tax ratio.</w:t>
      </w:r>
    </w:p>
    <w:p w14:paraId="2A829A39" w14:textId="6AD3A528" w:rsidR="00D14014" w:rsidRPr="001B1F5F" w:rsidRDefault="00B7254F" w:rsidP="00D14014">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lang w:val="en-ID"/>
        </w:rPr>
        <w:t xml:space="preserve">The lack of tax compliance, according to </w:t>
      </w:r>
      <w:proofErr w:type="spellStart"/>
      <w:r w:rsidRPr="001B1F5F">
        <w:rPr>
          <w:rFonts w:asciiTheme="minorHAnsi" w:hAnsiTheme="minorHAnsi" w:cstheme="minorHAnsi"/>
          <w:sz w:val="24"/>
          <w:szCs w:val="24"/>
          <w:lang w:val="en-ID"/>
        </w:rPr>
        <w:t>DDTCNews</w:t>
      </w:r>
      <w:proofErr w:type="spellEnd"/>
      <w:r w:rsidRPr="001B1F5F">
        <w:rPr>
          <w:rFonts w:asciiTheme="minorHAnsi" w:hAnsiTheme="minorHAnsi" w:cstheme="minorHAnsi"/>
          <w:sz w:val="24"/>
          <w:szCs w:val="24"/>
          <w:lang w:val="en-ID"/>
        </w:rPr>
        <w:t xml:space="preserve"> (2022), is one of the causes of the continuously low revenue from taxation. </w:t>
      </w:r>
      <w:r w:rsidR="000809DA" w:rsidRPr="001B1F5F">
        <w:rPr>
          <w:rFonts w:asciiTheme="minorHAnsi" w:hAnsiTheme="minorHAnsi" w:cstheme="minorHAnsi"/>
          <w:sz w:val="24"/>
          <w:szCs w:val="24"/>
          <w:lang w:val="en-ID"/>
        </w:rPr>
        <w:t xml:space="preserve">The government has made continuous efforts to improve this situation by implementing tax reforms. </w:t>
      </w:r>
      <w:r w:rsidRPr="001B1F5F">
        <w:rPr>
          <w:rFonts w:asciiTheme="minorHAnsi" w:hAnsiTheme="minorHAnsi" w:cstheme="minorHAnsi"/>
          <w:sz w:val="24"/>
          <w:szCs w:val="24"/>
          <w:lang w:val="en-ID"/>
        </w:rPr>
        <w:t xml:space="preserve">The development of a more precise and comprehensive tax database is one of these reforms' components. </w:t>
      </w:r>
      <w:r w:rsidR="000809DA" w:rsidRPr="001B1F5F">
        <w:rPr>
          <w:rFonts w:asciiTheme="minorHAnsi" w:hAnsiTheme="minorHAnsi" w:cstheme="minorHAnsi"/>
          <w:sz w:val="24"/>
          <w:szCs w:val="24"/>
          <w:lang w:val="en-ID"/>
        </w:rPr>
        <w:t xml:space="preserve"> The positive impact of this reform has led to tax revenue realization exceeding targets in 2021. This was attributed by the Ministry of Finance to increased taxpayer compliance, rising prices of major commodities in the global market, and the economic recovery of the community as it began to rebound from the effects of the pandemic</w:t>
      </w:r>
      <w:r w:rsidR="003D26C5" w:rsidRPr="001B1F5F">
        <w:rPr>
          <w:rFonts w:asciiTheme="minorHAnsi" w:hAnsiTheme="minorHAnsi" w:cstheme="minorHAnsi"/>
          <w:sz w:val="24"/>
          <w:szCs w:val="24"/>
          <w:lang w:val="en-ID"/>
        </w:rPr>
        <w:t>.</w:t>
      </w:r>
    </w:p>
    <w:p w14:paraId="6F634A55" w14:textId="2E4E5DB2" w:rsidR="00D14014" w:rsidRPr="001B1F5F" w:rsidRDefault="000809DA" w:rsidP="008A6461">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Tax avoidance practices, which have been a focus of tax authorities, have also attracted the attention of academics for research purposes. </w:t>
      </w:r>
      <w:r w:rsidR="00B7254F" w:rsidRPr="001B1F5F">
        <w:rPr>
          <w:rFonts w:asciiTheme="minorHAnsi" w:hAnsiTheme="minorHAnsi" w:cstheme="minorHAnsi"/>
          <w:sz w:val="24"/>
          <w:szCs w:val="24"/>
          <w:lang w:val="en-ID"/>
        </w:rPr>
        <w:t xml:space="preserve">According to </w:t>
      </w:r>
      <w:r w:rsidR="002E6AA5">
        <w:rPr>
          <w:rFonts w:asciiTheme="minorHAnsi" w:hAnsiTheme="minorHAnsi" w:cstheme="minorHAnsi"/>
          <w:sz w:val="24"/>
          <w:szCs w:val="24"/>
          <w:lang w:val="en-ID"/>
        </w:rPr>
        <w:fldChar w:fldCharType="begin"/>
      </w:r>
      <w:r w:rsidR="002E6AA5">
        <w:rPr>
          <w:rFonts w:asciiTheme="minorHAnsi" w:hAnsiTheme="minorHAnsi" w:cstheme="minorHAnsi"/>
          <w:sz w:val="24"/>
          <w:szCs w:val="24"/>
          <w:lang w:val="en-ID"/>
        </w:rPr>
        <w:instrText xml:space="preserve"> ADDIN ZOTERO_ITEM CSL_CITATION {"citationID":"Fz51Yy8e","properties":{"formattedCitation":"(Hanlon &amp; Heitzman, 2010)","plainCitation":"(Hanlon &amp; Heitzman, 2010)","noteIndex":0},"citationItems":[{"id":206,"uris":["http://zotero.org/users/local/1kuimZT3/items/G957T685"],"itemData":{"id":206,"type":"article-journal","abstract":"In this paper, we present a review of tax research. We survey four main areas of the literature: (1) the informational role of income tax expense reported for financial accounting, (2) corporate tax avoidance, (3) corporate decision-making including investment, capital structure, and organizational form, and (4) taxes and asset pricing. We summarize the research areas and questions examined to date and what we have learned or not learned from the work completed thus far. In addition, we provide our opinion as to the interesting and important issues for future research.","container-title":"Journal of Accounting and Economics","DOI":"10.1016/j.jacceco.2010.09.002","ISSN":"0165-4101","issue":"2","journalAbbreviation":"Journal of Accounting and Economics","language":"en","page":"127-178","source":"ScienceDirect","title":"A review of tax research","volume":"50","author":[{"family":"Hanlon","given":"Michelle"},{"family":"Heitzman","given":"Shane"}],"issued":{"date-parts":[["2010",12,1]]}}}],"schema":"https://github.com/citation-style-language/schema/raw/master/csl-citation.json"} </w:instrText>
      </w:r>
      <w:r w:rsidR="002E6AA5">
        <w:rPr>
          <w:rFonts w:asciiTheme="minorHAnsi" w:hAnsiTheme="minorHAnsi" w:cstheme="minorHAnsi"/>
          <w:sz w:val="24"/>
          <w:szCs w:val="24"/>
          <w:lang w:val="en-ID"/>
        </w:rPr>
        <w:fldChar w:fldCharType="separate"/>
      </w:r>
      <w:r w:rsidR="002E6AA5" w:rsidRPr="002E6AA5">
        <w:rPr>
          <w:rFonts w:cs="Calibri"/>
          <w:sz w:val="24"/>
        </w:rPr>
        <w:t>Hanlon &amp; Heitzman</w:t>
      </w:r>
      <w:r w:rsidR="006C374E">
        <w:rPr>
          <w:rFonts w:cs="Calibri"/>
          <w:sz w:val="24"/>
        </w:rPr>
        <w:t xml:space="preserve"> (</w:t>
      </w:r>
      <w:r w:rsidR="002E6AA5" w:rsidRPr="002E6AA5">
        <w:rPr>
          <w:rFonts w:cs="Calibri"/>
          <w:sz w:val="24"/>
        </w:rPr>
        <w:t>2010)</w:t>
      </w:r>
      <w:r w:rsidR="002E6AA5">
        <w:rPr>
          <w:rFonts w:asciiTheme="minorHAnsi" w:hAnsiTheme="minorHAnsi" w:cstheme="minorHAnsi"/>
          <w:sz w:val="24"/>
          <w:szCs w:val="24"/>
          <w:lang w:val="en-ID"/>
        </w:rPr>
        <w:fldChar w:fldCharType="end"/>
      </w:r>
      <w:r w:rsidR="00B7254F" w:rsidRPr="001B1F5F">
        <w:rPr>
          <w:rFonts w:asciiTheme="minorHAnsi" w:hAnsiTheme="minorHAnsi" w:cstheme="minorHAnsi"/>
          <w:sz w:val="24"/>
          <w:szCs w:val="24"/>
          <w:lang w:val="en-ID"/>
        </w:rPr>
        <w:t xml:space="preserve">, corporate tax avoidance might involve violating tax legislation or employing legal strategies to lower the tax burden. </w:t>
      </w:r>
      <w:r w:rsidR="00F54131" w:rsidRPr="001B1F5F">
        <w:rPr>
          <w:rFonts w:asciiTheme="minorHAnsi" w:hAnsiTheme="minorHAnsi" w:cstheme="minorHAnsi"/>
          <w:sz w:val="24"/>
          <w:szCs w:val="24"/>
          <w:lang w:val="en-ID"/>
        </w:rPr>
        <w:t xml:space="preserve">Early on in this field of study, the emphasis was on how industry classification, firm size, and business strategy of companies affected their tax avoidance </w:t>
      </w:r>
      <w:r w:rsidR="00877CBA" w:rsidRPr="001B1F5F">
        <w:rPr>
          <w:rFonts w:asciiTheme="minorHAnsi" w:hAnsiTheme="minorHAnsi" w:cstheme="minorHAnsi"/>
          <w:sz w:val="24"/>
          <w:szCs w:val="24"/>
          <w:lang w:val="en-ID"/>
        </w:rPr>
        <w:t>practices</w:t>
      </w:r>
      <w:r w:rsidR="00F54131" w:rsidRPr="001B1F5F">
        <w:rPr>
          <w:rFonts w:asciiTheme="minorHAnsi" w:hAnsiTheme="minorHAnsi" w:cstheme="minorHAnsi"/>
          <w:sz w:val="24"/>
          <w:szCs w:val="24"/>
          <w:lang w:val="en-ID"/>
        </w:rPr>
        <w:t>.</w:t>
      </w:r>
      <w:r w:rsidR="003D26C5" w:rsidRPr="001B1F5F">
        <w:rPr>
          <w:rFonts w:asciiTheme="minorHAnsi" w:hAnsiTheme="minorHAnsi" w:cstheme="minorHAnsi"/>
          <w:sz w:val="24"/>
          <w:szCs w:val="24"/>
          <w:lang w:val="en-ID"/>
        </w:rPr>
        <w:t xml:space="preserve"> </w:t>
      </w:r>
      <w:r w:rsidR="00877CBA" w:rsidRPr="001B1F5F">
        <w:rPr>
          <w:rFonts w:asciiTheme="minorHAnsi" w:hAnsiTheme="minorHAnsi" w:cstheme="minorHAnsi"/>
          <w:sz w:val="24"/>
          <w:szCs w:val="24"/>
          <w:lang w:val="en-ID"/>
        </w:rPr>
        <w:t xml:space="preserve">Researchers then began to examine aspects of corporate governance intended to minimize agency conflicts </w:t>
      </w:r>
      <w:r w:rsidRPr="001B1F5F">
        <w:rPr>
          <w:rFonts w:asciiTheme="minorHAnsi" w:hAnsiTheme="minorHAnsi" w:cstheme="minorHAnsi"/>
          <w:sz w:val="24"/>
          <w:szCs w:val="24"/>
          <w:lang w:val="en-ID"/>
        </w:rPr>
        <w:t xml:space="preserve">(Hanlon &amp; </w:t>
      </w:r>
      <w:proofErr w:type="spellStart"/>
      <w:r w:rsidRPr="001B1F5F">
        <w:rPr>
          <w:rFonts w:asciiTheme="minorHAnsi" w:hAnsiTheme="minorHAnsi" w:cstheme="minorHAnsi"/>
          <w:sz w:val="24"/>
          <w:szCs w:val="24"/>
          <w:lang w:val="en-ID"/>
        </w:rPr>
        <w:t>Heitzman</w:t>
      </w:r>
      <w:proofErr w:type="spellEnd"/>
      <w:r w:rsidRPr="001B1F5F">
        <w:rPr>
          <w:rFonts w:asciiTheme="minorHAnsi" w:hAnsiTheme="minorHAnsi" w:cstheme="minorHAnsi"/>
          <w:sz w:val="24"/>
          <w:szCs w:val="24"/>
          <w:lang w:val="en-ID"/>
        </w:rPr>
        <w:t xml:space="preserve">, 2010), such as independent boards of commissioners </w:t>
      </w:r>
      <w:r w:rsidR="002E6AA5">
        <w:rPr>
          <w:rFonts w:asciiTheme="minorHAnsi" w:hAnsiTheme="minorHAnsi" w:cstheme="minorHAnsi"/>
          <w:sz w:val="24"/>
          <w:szCs w:val="24"/>
          <w:lang w:val="en-ID"/>
        </w:rPr>
        <w:fldChar w:fldCharType="begin"/>
      </w:r>
      <w:r w:rsidR="002E6AA5">
        <w:rPr>
          <w:rFonts w:asciiTheme="minorHAnsi" w:hAnsiTheme="minorHAnsi" w:cstheme="minorHAnsi"/>
          <w:sz w:val="24"/>
          <w:szCs w:val="24"/>
          <w:lang w:val="en-ID"/>
        </w:rPr>
        <w:instrText xml:space="preserve"> ADDIN ZOTERO_ITEM CSL_CITATION {"citationID":"zcSnXDpx","properties":{"formattedCitation":"(Armstrong et al., 2015)","plainCitation":"(Armstrong et al., 2015)","noteIndex":0},"citationItems":[{"id":659,"uris":["http://zotero.org/users/local/1kuimZT3/items/WWWVSCS8"],"itemData":{"id":659,"type":"article-journal","abstract":"We examine the link between corporate governance, managerial incentives, and corporate tax avoidance. Similar to other investment opportunities that involve risky expected cash flows, unresolved agency problems may lead managers to engage in more or less corporate tax avoidance than shareholders would otherwise prefer. Consistent with the mixed results reported in prior studies, we find no relation between various corporate governance mechanisms and tax avoidance at the conditional mean and median of the tax avoidance distribution. However, using quantile regression, we find a positive relation between board independence and financial sophistication for low levels of tax avoidance, but a negative relation for high levels of tax avoidance. These results indicate that these governance attributes have a stronger relation with more extreme levels of tax avoidance, which are more likely to be symptomatic of over- and under-investment by managers.","container-title":"Journal of Accounting and Economics","DOI":"10.1016/j.jacceco.2015.02.003","ISSN":"0165-4101","issue":"1","journalAbbreviation":"Journal of Accounting and Economics","language":"en","page":"1-17","source":"ScienceDirect","title":"Corporate governance, incentives, and tax avoidance","volume":"60","author":[{"family":"Armstrong","given":"Christopher S."},{"family":"Blouin","given":"Jennifer L."},{"family":"Jagolinzer","given":"Alan D."},{"family":"Larcker","given":"David F."}],"issued":{"date-parts":[["2015",8,1]]}}}],"schema":"https://github.com/citation-style-language/schema/raw/master/csl-citation.json"} </w:instrText>
      </w:r>
      <w:r w:rsidR="002E6AA5">
        <w:rPr>
          <w:rFonts w:asciiTheme="minorHAnsi" w:hAnsiTheme="minorHAnsi" w:cstheme="minorHAnsi"/>
          <w:sz w:val="24"/>
          <w:szCs w:val="24"/>
          <w:lang w:val="en-ID"/>
        </w:rPr>
        <w:fldChar w:fldCharType="separate"/>
      </w:r>
      <w:r w:rsidR="002E6AA5" w:rsidRPr="002E6AA5">
        <w:rPr>
          <w:rFonts w:cs="Calibri"/>
          <w:sz w:val="24"/>
        </w:rPr>
        <w:t xml:space="preserve">(Armstrong </w:t>
      </w:r>
      <w:r w:rsidR="002E6AA5" w:rsidRPr="002E6AA5">
        <w:rPr>
          <w:rFonts w:cs="Calibri"/>
          <w:i/>
          <w:iCs/>
          <w:sz w:val="24"/>
        </w:rPr>
        <w:t>et al.</w:t>
      </w:r>
      <w:r w:rsidR="002E6AA5" w:rsidRPr="002E6AA5">
        <w:rPr>
          <w:rFonts w:cs="Calibri"/>
          <w:sz w:val="24"/>
        </w:rPr>
        <w:t>, 2015)</w:t>
      </w:r>
      <w:r w:rsidR="002E6AA5">
        <w:rPr>
          <w:rFonts w:asciiTheme="minorHAnsi" w:hAnsiTheme="minorHAnsi" w:cstheme="minorHAnsi"/>
          <w:sz w:val="24"/>
          <w:szCs w:val="24"/>
          <w:lang w:val="en-ID"/>
        </w:rPr>
        <w:fldChar w:fldCharType="end"/>
      </w:r>
      <w:r w:rsidRPr="001B1F5F">
        <w:rPr>
          <w:rFonts w:asciiTheme="minorHAnsi" w:hAnsiTheme="minorHAnsi" w:cstheme="minorHAnsi"/>
          <w:sz w:val="24"/>
          <w:szCs w:val="24"/>
          <w:lang w:val="en-ID"/>
        </w:rPr>
        <w:t xml:space="preserve"> and internal audit committees </w:t>
      </w:r>
      <w:r w:rsidR="002E6AA5">
        <w:rPr>
          <w:rFonts w:asciiTheme="minorHAnsi" w:hAnsiTheme="minorHAnsi" w:cstheme="minorHAnsi"/>
          <w:sz w:val="24"/>
          <w:szCs w:val="24"/>
          <w:lang w:val="en-ID"/>
        </w:rPr>
        <w:fldChar w:fldCharType="begin"/>
      </w:r>
      <w:r w:rsidR="002E6AA5">
        <w:rPr>
          <w:rFonts w:asciiTheme="minorHAnsi" w:hAnsiTheme="minorHAnsi" w:cstheme="minorHAnsi"/>
          <w:sz w:val="24"/>
          <w:szCs w:val="24"/>
          <w:lang w:val="en-ID"/>
        </w:rPr>
        <w:instrText xml:space="preserve"> ADDIN ZOTERO_ITEM CSL_CITATION {"citationID":"727Snac0","properties":{"formattedCitation":"(Richardson et al., 2013)","plainCitation":"(Richardson et al., 2013)","noteIndex":0},"citationItems":[{"id":664,"uris":["http://zotero.org/users/local/1kuimZT3/items/AV5TNYAF"],"itemData":{"id":664,"type":"article-journal","abstract":"This paper examines the impact of board of director oversight characteristics on corporate tax aggressiveness. Based on a 812 firm-year dataset of 203 publicly-listed Australian firms over the 2006–2009 period, our regression results show that if a firm has established an effective risk management system and internal controls, engages a big-4 auditor, its external auditor’s services involve proportionally fewer non-audit services than audit services and the more independent is its internal audit committee, it is less likely to be tax aggressive. Our additional regression results also indicate that the interaction effect between board of director composition (i.e., a higher ratio of independent directors on the board) and the establishment of an effective risk management system and internal controls jointly reduce tax aggressiveness.","collection-title":"Special Issue on Accounting and Corporate Governance","container-title":"Journal of Accounting and Public Policy","DOI":"10.1016/j.jaccpubpol.2013.02.004","ISSN":"0278-4254","issue":"3","journalAbbreviation":"Journal of Accounting and Public Policy","language":"en","page":"68-88","source":"ScienceDirect","title":"The impact of board of director oversight characteristics on corporate tax aggressiveness: An empirical analysis","title-short":"The impact of board of director oversight characteristics on corporate tax aggressiveness","volume":"32","author":[{"family":"Richardson","given":"Grant"},{"family":"Taylor","given":"Grantley"},{"family":"Lanis","given":"Roman"}],"issued":{"date-parts":[["2013",5,1]]}}}],"schema":"https://github.com/citation-style-language/schema/raw/master/csl-citation.json"} </w:instrText>
      </w:r>
      <w:r w:rsidR="002E6AA5">
        <w:rPr>
          <w:rFonts w:asciiTheme="minorHAnsi" w:hAnsiTheme="minorHAnsi" w:cstheme="minorHAnsi"/>
          <w:sz w:val="24"/>
          <w:szCs w:val="24"/>
          <w:lang w:val="en-ID"/>
        </w:rPr>
        <w:fldChar w:fldCharType="separate"/>
      </w:r>
      <w:r w:rsidR="002E6AA5" w:rsidRPr="002E6AA5">
        <w:rPr>
          <w:rFonts w:cs="Calibri"/>
          <w:sz w:val="24"/>
        </w:rPr>
        <w:t xml:space="preserve">(Richardson </w:t>
      </w:r>
      <w:r w:rsidR="002E6AA5" w:rsidRPr="002E6AA5">
        <w:rPr>
          <w:rFonts w:cs="Calibri"/>
          <w:i/>
          <w:iCs/>
          <w:sz w:val="24"/>
        </w:rPr>
        <w:t>et al</w:t>
      </w:r>
      <w:r w:rsidR="002E6AA5" w:rsidRPr="002E6AA5">
        <w:rPr>
          <w:rFonts w:cs="Calibri"/>
          <w:sz w:val="24"/>
        </w:rPr>
        <w:t>., 2013</w:t>
      </w:r>
      <w:r w:rsidR="002E6AA5">
        <w:rPr>
          <w:rFonts w:asciiTheme="minorHAnsi" w:hAnsiTheme="minorHAnsi" w:cstheme="minorHAnsi"/>
          <w:sz w:val="24"/>
          <w:szCs w:val="24"/>
          <w:lang w:val="en-ID"/>
        </w:rPr>
        <w:fldChar w:fldCharType="end"/>
      </w:r>
      <w:r w:rsidRPr="001B1F5F">
        <w:rPr>
          <w:rFonts w:asciiTheme="minorHAnsi" w:hAnsiTheme="minorHAnsi" w:cstheme="minorHAnsi"/>
          <w:sz w:val="24"/>
          <w:szCs w:val="24"/>
          <w:lang w:val="en-ID"/>
        </w:rPr>
        <w:t>; Bauer, 2016). A recent development in research includes considering the i</w:t>
      </w:r>
      <w:r w:rsidR="006C374E">
        <w:rPr>
          <w:rFonts w:asciiTheme="minorHAnsi" w:hAnsiTheme="minorHAnsi" w:cstheme="minorHAnsi"/>
          <w:sz w:val="24"/>
          <w:szCs w:val="24"/>
          <w:lang w:val="en-ID"/>
        </w:rPr>
        <w:t xml:space="preserve">mpact </w:t>
      </w:r>
      <w:r w:rsidRPr="001B1F5F">
        <w:rPr>
          <w:rFonts w:asciiTheme="minorHAnsi" w:hAnsiTheme="minorHAnsi" w:cstheme="minorHAnsi"/>
          <w:sz w:val="24"/>
          <w:szCs w:val="24"/>
          <w:lang w:val="en-ID"/>
        </w:rPr>
        <w:t xml:space="preserve">of tax avoidance actions on the economic consequences for managers, companies, and stakeholders due to agency problems </w:t>
      </w:r>
      <w:r w:rsidR="002E6AA5">
        <w:rPr>
          <w:rFonts w:asciiTheme="minorHAnsi" w:hAnsiTheme="minorHAnsi" w:cstheme="minorHAnsi"/>
          <w:sz w:val="24"/>
          <w:szCs w:val="24"/>
          <w:lang w:val="en-ID"/>
        </w:rPr>
        <w:fldChar w:fldCharType="begin"/>
      </w:r>
      <w:r w:rsidR="002E6AA5">
        <w:rPr>
          <w:rFonts w:asciiTheme="minorHAnsi" w:hAnsiTheme="minorHAnsi" w:cstheme="minorHAnsi"/>
          <w:sz w:val="24"/>
          <w:szCs w:val="24"/>
          <w:lang w:val="en-ID"/>
        </w:rPr>
        <w:instrText xml:space="preserve"> ADDIN ZOTERO_ITEM CSL_CITATION {"citationID":"zFcos5uX","properties":{"formattedCitation":"(Wang et al., 2020)","plainCitation":"(Wang et al., 2020)","noteIndex":0},"citationItems":[{"id":615,"uris":["http://zotero.org/users/local/1kuimZT3/items/V5VRQ9AX"],"itemData":{"id":615,"type":"article-journal","abstract":"Tax avoidance can range from reduction of the corporate tax burden by legitimate use of tax rules to violation of tax laws. In this paper, we endeavor to synthesize the major findings of tax avoidance research from the accounting and finance literatures over the past ten years. We consider theoretical developments and the related empirical findings about the interconnected issues of measuring tax avoidance, and the possible causes and outcomes of corporate tax avoidance. We present some ideas for further research to examine underexplored topics regarding tax avoidance.","container-title":"Journal of Economic Surveys","DOI":"10.1111/joes.12347","ISSN":"1467-6419","issue":"4","language":"en","note":"_eprint: https://onlinelibrary.wiley.com/doi/pdf/10.1111/joes.12347","page":"793-811","source":"Wiley Online Library","title":"Corporate Tax Avoidance: A Literature Review and Research Agenda","title-short":"Corporate Tax Avoidance","volume":"34","author":[{"family":"Wang","given":"Fangjun"},{"family":"Xu","given":"Shuolei"},{"family":"Sun","given":"Junqin"},{"family":"Cullinan","given":"Charles P."}],"issued":{"date-parts":[["2020"]]}}}],"schema":"https://github.com/citation-style-language/schema/raw/master/csl-citation.json"} </w:instrText>
      </w:r>
      <w:r w:rsidR="002E6AA5">
        <w:rPr>
          <w:rFonts w:asciiTheme="minorHAnsi" w:hAnsiTheme="minorHAnsi" w:cstheme="minorHAnsi"/>
          <w:sz w:val="24"/>
          <w:szCs w:val="24"/>
          <w:lang w:val="en-ID"/>
        </w:rPr>
        <w:fldChar w:fldCharType="separate"/>
      </w:r>
      <w:r w:rsidR="002E6AA5" w:rsidRPr="002E6AA5">
        <w:rPr>
          <w:rFonts w:cs="Calibri"/>
          <w:sz w:val="24"/>
        </w:rPr>
        <w:t xml:space="preserve">(Wang </w:t>
      </w:r>
      <w:r w:rsidR="002E6AA5" w:rsidRPr="00A601DC">
        <w:rPr>
          <w:rFonts w:cs="Calibri"/>
          <w:i/>
          <w:iCs/>
          <w:sz w:val="24"/>
        </w:rPr>
        <w:t>et al</w:t>
      </w:r>
      <w:r w:rsidR="002E6AA5" w:rsidRPr="002E6AA5">
        <w:rPr>
          <w:rFonts w:cs="Calibri"/>
          <w:sz w:val="24"/>
        </w:rPr>
        <w:t>., 2020)</w:t>
      </w:r>
      <w:r w:rsidR="002E6AA5">
        <w:rPr>
          <w:rFonts w:asciiTheme="minorHAnsi" w:hAnsiTheme="minorHAnsi" w:cstheme="minorHAnsi"/>
          <w:sz w:val="24"/>
          <w:szCs w:val="24"/>
          <w:lang w:val="en-ID"/>
        </w:rPr>
        <w:fldChar w:fldCharType="end"/>
      </w:r>
      <w:r w:rsidRPr="001B1F5F">
        <w:rPr>
          <w:rFonts w:asciiTheme="minorHAnsi" w:hAnsiTheme="minorHAnsi" w:cstheme="minorHAnsi"/>
          <w:sz w:val="24"/>
          <w:szCs w:val="24"/>
          <w:lang w:val="en-ID"/>
        </w:rPr>
        <w:t>.</w:t>
      </w:r>
    </w:p>
    <w:p w14:paraId="3D362E31" w14:textId="26CA0470" w:rsidR="000809DA" w:rsidRPr="001B1F5F" w:rsidRDefault="00EF72F9" w:rsidP="000809DA">
      <w:pPr>
        <w:pStyle w:val="NoSpacing"/>
        <w:ind w:firstLine="720"/>
        <w:jc w:val="both"/>
        <w:rPr>
          <w:rFonts w:asciiTheme="minorHAnsi" w:hAnsiTheme="minorHAnsi" w:cstheme="minorHAnsi"/>
          <w:sz w:val="24"/>
          <w:szCs w:val="24"/>
          <w:lang w:val="en-ID"/>
        </w:rPr>
      </w:pPr>
      <w:r w:rsidRPr="00EF72F9">
        <w:rPr>
          <w:rFonts w:asciiTheme="minorHAnsi" w:hAnsiTheme="minorHAnsi" w:cstheme="minorHAnsi"/>
          <w:sz w:val="24"/>
          <w:szCs w:val="24"/>
          <w:lang w:val="en-ID"/>
        </w:rPr>
        <w:t>There is significant diversity in the measurement proxies employed in tax avoidance research.</w:t>
      </w:r>
      <w:r w:rsidR="005728EC" w:rsidRPr="001B1F5F">
        <w:rPr>
          <w:rFonts w:asciiTheme="minorHAnsi" w:hAnsiTheme="minorHAnsi" w:cstheme="minorHAnsi"/>
          <w:sz w:val="24"/>
          <w:szCs w:val="24"/>
          <w:lang w:val="en-ID"/>
        </w:rPr>
        <w:t xml:space="preserve"> According to Hanlon &amp; </w:t>
      </w:r>
      <w:proofErr w:type="spellStart"/>
      <w:r w:rsidR="005728EC" w:rsidRPr="001B1F5F">
        <w:rPr>
          <w:rFonts w:asciiTheme="minorHAnsi" w:hAnsiTheme="minorHAnsi" w:cstheme="minorHAnsi"/>
          <w:sz w:val="24"/>
          <w:szCs w:val="24"/>
          <w:lang w:val="en-ID"/>
        </w:rPr>
        <w:t>Heitzman</w:t>
      </w:r>
      <w:proofErr w:type="spellEnd"/>
      <w:r w:rsidR="005728EC" w:rsidRPr="001B1F5F">
        <w:rPr>
          <w:rFonts w:asciiTheme="minorHAnsi" w:hAnsiTheme="minorHAnsi" w:cstheme="minorHAnsi"/>
          <w:sz w:val="24"/>
          <w:szCs w:val="24"/>
          <w:lang w:val="en-ID"/>
        </w:rPr>
        <w:t xml:space="preserve"> (2010), two measures that are frequently employed by researchers </w:t>
      </w:r>
      <w:r w:rsidR="005728EC" w:rsidRPr="001B1F5F">
        <w:rPr>
          <w:rFonts w:asciiTheme="minorHAnsi" w:hAnsiTheme="minorHAnsi" w:cstheme="minorHAnsi"/>
          <w:sz w:val="24"/>
          <w:szCs w:val="24"/>
          <w:lang w:val="en-ID"/>
        </w:rPr>
        <w:lastRenderedPageBreak/>
        <w:t>are Effective Tax Rates (ETR) and Book-Tax Differences (BTD), which are the differences between taxable and commercial income.</w:t>
      </w:r>
      <w:r w:rsidR="000809DA" w:rsidRPr="001B1F5F">
        <w:rPr>
          <w:rFonts w:asciiTheme="minorHAnsi" w:hAnsiTheme="minorHAnsi" w:cstheme="minorHAnsi"/>
          <w:sz w:val="24"/>
          <w:szCs w:val="24"/>
          <w:lang w:val="en-ID"/>
        </w:rPr>
        <w:t xml:space="preserve"> However, they suggest that these measurement proxies can only capture </w:t>
      </w:r>
      <w:r w:rsidR="005238EF">
        <w:rPr>
          <w:rFonts w:asciiTheme="minorHAnsi" w:hAnsiTheme="minorHAnsi" w:cstheme="minorHAnsi"/>
          <w:sz w:val="24"/>
          <w:szCs w:val="24"/>
          <w:lang w:val="en-ID"/>
        </w:rPr>
        <w:t xml:space="preserve">the </w:t>
      </w:r>
      <w:r w:rsidR="000809DA" w:rsidRPr="001B1F5F">
        <w:rPr>
          <w:rFonts w:asciiTheme="minorHAnsi" w:hAnsiTheme="minorHAnsi" w:cstheme="minorHAnsi"/>
          <w:sz w:val="24"/>
          <w:szCs w:val="24"/>
          <w:lang w:val="en-ID"/>
        </w:rPr>
        <w:t xml:space="preserve">non-conforming </w:t>
      </w:r>
      <w:r w:rsidR="006C374E">
        <w:rPr>
          <w:rFonts w:asciiTheme="minorHAnsi" w:hAnsiTheme="minorHAnsi" w:cstheme="minorHAnsi"/>
          <w:sz w:val="24"/>
          <w:szCs w:val="24"/>
          <w:lang w:val="en-ID"/>
        </w:rPr>
        <w:t xml:space="preserve">effect of </w:t>
      </w:r>
      <w:r w:rsidR="000809DA" w:rsidRPr="001B1F5F">
        <w:rPr>
          <w:rFonts w:asciiTheme="minorHAnsi" w:hAnsiTheme="minorHAnsi" w:cstheme="minorHAnsi"/>
          <w:sz w:val="24"/>
          <w:szCs w:val="24"/>
          <w:lang w:val="en-ID"/>
        </w:rPr>
        <w:t xml:space="preserve">tax avoidance, where differences exist in the reporting treatment of transactions for commercial and tax reporting purposes. On the </w:t>
      </w:r>
      <w:r w:rsidR="00AD0DA9" w:rsidRPr="001B1F5F">
        <w:rPr>
          <w:rFonts w:asciiTheme="minorHAnsi" w:hAnsiTheme="minorHAnsi" w:cstheme="minorHAnsi"/>
          <w:sz w:val="24"/>
          <w:szCs w:val="24"/>
          <w:lang w:val="en-ID"/>
        </w:rPr>
        <w:t>contrary</w:t>
      </w:r>
      <w:r w:rsidR="000809DA" w:rsidRPr="001B1F5F">
        <w:rPr>
          <w:rFonts w:asciiTheme="minorHAnsi" w:hAnsiTheme="minorHAnsi" w:cstheme="minorHAnsi"/>
          <w:sz w:val="24"/>
          <w:szCs w:val="24"/>
          <w:lang w:val="en-ID"/>
        </w:rPr>
        <w:t xml:space="preserve">, conforming tax avoidance would </w:t>
      </w:r>
      <w:r w:rsidR="00AD0DA9" w:rsidRPr="001B1F5F">
        <w:rPr>
          <w:rFonts w:asciiTheme="minorHAnsi" w:hAnsiTheme="minorHAnsi" w:cstheme="minorHAnsi"/>
          <w:sz w:val="24"/>
          <w:szCs w:val="24"/>
          <w:lang w:val="en-ID"/>
        </w:rPr>
        <w:t>indicate</w:t>
      </w:r>
      <w:r w:rsidR="000809DA" w:rsidRPr="001B1F5F">
        <w:rPr>
          <w:rFonts w:asciiTheme="minorHAnsi" w:hAnsiTheme="minorHAnsi" w:cstheme="minorHAnsi"/>
          <w:sz w:val="24"/>
          <w:szCs w:val="24"/>
          <w:lang w:val="en-ID"/>
        </w:rPr>
        <w:t xml:space="preserve"> the simultaneous </w:t>
      </w:r>
      <w:r w:rsidR="008E7089">
        <w:rPr>
          <w:rFonts w:asciiTheme="minorHAnsi" w:hAnsiTheme="minorHAnsi" w:cstheme="minorHAnsi"/>
          <w:sz w:val="24"/>
          <w:szCs w:val="24"/>
          <w:lang w:val="en-ID"/>
        </w:rPr>
        <w:t>effect</w:t>
      </w:r>
      <w:r w:rsidR="000809DA" w:rsidRPr="001B1F5F">
        <w:rPr>
          <w:rFonts w:asciiTheme="minorHAnsi" w:hAnsiTheme="minorHAnsi" w:cstheme="minorHAnsi"/>
          <w:sz w:val="24"/>
          <w:szCs w:val="24"/>
          <w:lang w:val="en-ID"/>
        </w:rPr>
        <w:t xml:space="preserve"> of tax avoidance practices that reduce commercial income. </w:t>
      </w:r>
      <w:r w:rsidR="008E7089">
        <w:rPr>
          <w:rFonts w:asciiTheme="minorHAnsi" w:hAnsiTheme="minorHAnsi" w:cstheme="minorHAnsi"/>
          <w:sz w:val="24"/>
          <w:szCs w:val="24"/>
          <w:lang w:val="en-ID"/>
        </w:rPr>
        <w:t xml:space="preserve">According to Hanlon &amp; </w:t>
      </w:r>
      <w:proofErr w:type="spellStart"/>
      <w:r w:rsidR="008E7089">
        <w:rPr>
          <w:rFonts w:asciiTheme="minorHAnsi" w:hAnsiTheme="minorHAnsi" w:cstheme="minorHAnsi"/>
          <w:sz w:val="24"/>
          <w:szCs w:val="24"/>
          <w:lang w:val="en-ID"/>
        </w:rPr>
        <w:t>Heitzman</w:t>
      </w:r>
      <w:proofErr w:type="spellEnd"/>
      <w:r w:rsidR="008E7089">
        <w:rPr>
          <w:rFonts w:asciiTheme="minorHAnsi" w:hAnsiTheme="minorHAnsi" w:cstheme="minorHAnsi"/>
          <w:sz w:val="24"/>
          <w:szCs w:val="24"/>
          <w:lang w:val="en-ID"/>
        </w:rPr>
        <w:t xml:space="preserve"> (2010), t</w:t>
      </w:r>
      <w:r w:rsidR="00AD0DA9" w:rsidRPr="001B1F5F">
        <w:rPr>
          <w:rFonts w:asciiTheme="minorHAnsi" w:hAnsiTheme="minorHAnsi" w:cstheme="minorHAnsi"/>
          <w:sz w:val="24"/>
          <w:szCs w:val="24"/>
          <w:lang w:val="en-ID"/>
        </w:rPr>
        <w:t>he tax paid-to-operating cash flow ratio is regarded as an alternative metric that can accurately represent the conforming impacts of tax avoidance</w:t>
      </w:r>
      <w:r w:rsidR="00FE39EE">
        <w:rPr>
          <w:rFonts w:asciiTheme="minorHAnsi" w:hAnsiTheme="minorHAnsi" w:cstheme="minorHAnsi"/>
          <w:sz w:val="24"/>
          <w:szCs w:val="24"/>
          <w:lang w:val="en-ID"/>
        </w:rPr>
        <w:t>.</w:t>
      </w:r>
    </w:p>
    <w:p w14:paraId="1AF63279" w14:textId="2F5C0E71" w:rsidR="000809DA" w:rsidRPr="001B1F5F" w:rsidRDefault="00FE39EE" w:rsidP="000809DA">
      <w:pPr>
        <w:pStyle w:val="NoSpacing"/>
        <w:ind w:firstLine="720"/>
        <w:jc w:val="both"/>
        <w:rPr>
          <w:rFonts w:asciiTheme="minorHAnsi" w:hAnsiTheme="minorHAnsi" w:cstheme="minorHAnsi"/>
          <w:sz w:val="24"/>
          <w:szCs w:val="24"/>
          <w:lang w:val="en-ID"/>
        </w:rPr>
      </w:pPr>
      <w:r w:rsidRPr="00FE39EE">
        <w:rPr>
          <w:rFonts w:asciiTheme="minorHAnsi" w:hAnsiTheme="minorHAnsi" w:cstheme="minorHAnsi"/>
          <w:sz w:val="24"/>
          <w:szCs w:val="24"/>
          <w:lang w:val="en-ID"/>
        </w:rPr>
        <w:t xml:space="preserve">Studies carried out in Indonesia were mostly focused on the </w:t>
      </w:r>
      <w:r>
        <w:rPr>
          <w:rFonts w:asciiTheme="minorHAnsi" w:hAnsiTheme="minorHAnsi" w:cstheme="minorHAnsi"/>
          <w:sz w:val="24"/>
          <w:szCs w:val="24"/>
          <w:lang w:val="en-ID"/>
        </w:rPr>
        <w:t>determinants</w:t>
      </w:r>
      <w:r w:rsidRPr="00FE39EE">
        <w:rPr>
          <w:rFonts w:asciiTheme="minorHAnsi" w:hAnsiTheme="minorHAnsi" w:cstheme="minorHAnsi"/>
          <w:sz w:val="24"/>
          <w:szCs w:val="24"/>
          <w:lang w:val="en-ID"/>
        </w:rPr>
        <w:t xml:space="preserve"> that contributed to tax avoidance strategies. </w:t>
      </w:r>
      <w:r w:rsidR="00AD0DA9" w:rsidRPr="001B1F5F">
        <w:rPr>
          <w:rFonts w:asciiTheme="minorHAnsi" w:hAnsiTheme="minorHAnsi" w:cstheme="minorHAnsi"/>
          <w:sz w:val="24"/>
          <w:szCs w:val="24"/>
          <w:lang w:val="en-ID"/>
        </w:rPr>
        <w:t>Apart from the characteristics of corporations and their governance</w:t>
      </w:r>
      <w:r w:rsidR="000809DA" w:rsidRPr="001B1F5F">
        <w:rPr>
          <w:rFonts w:asciiTheme="minorHAnsi" w:hAnsiTheme="minorHAnsi" w:cstheme="minorHAnsi"/>
          <w:sz w:val="24"/>
          <w:szCs w:val="24"/>
          <w:lang w:val="en-ID"/>
        </w:rPr>
        <w:t xml:space="preserve">, researchers have attempted to examine the relationships with external factors, both institutional, such as law enforcement by the government or tax authorities (Damayanti &amp; </w:t>
      </w:r>
      <w:proofErr w:type="spellStart"/>
      <w:r w:rsidR="000809DA" w:rsidRPr="001B1F5F">
        <w:rPr>
          <w:rFonts w:asciiTheme="minorHAnsi" w:hAnsiTheme="minorHAnsi" w:cstheme="minorHAnsi"/>
          <w:sz w:val="24"/>
          <w:szCs w:val="24"/>
          <w:lang w:val="en-ID"/>
        </w:rPr>
        <w:t>Prastiwi</w:t>
      </w:r>
      <w:proofErr w:type="spellEnd"/>
      <w:r w:rsidR="000809DA" w:rsidRPr="001B1F5F">
        <w:rPr>
          <w:rFonts w:asciiTheme="minorHAnsi" w:hAnsiTheme="minorHAnsi" w:cstheme="minorHAnsi"/>
          <w:sz w:val="24"/>
          <w:szCs w:val="24"/>
          <w:lang w:val="en-ID"/>
        </w:rPr>
        <w:t xml:space="preserve">, 2017; </w:t>
      </w:r>
      <w:proofErr w:type="spellStart"/>
      <w:r w:rsidR="000809DA" w:rsidRPr="001B1F5F">
        <w:rPr>
          <w:rFonts w:asciiTheme="minorHAnsi" w:hAnsiTheme="minorHAnsi" w:cstheme="minorHAnsi"/>
          <w:sz w:val="24"/>
          <w:szCs w:val="24"/>
          <w:lang w:val="en-ID"/>
        </w:rPr>
        <w:t>Satyadini</w:t>
      </w:r>
      <w:proofErr w:type="spellEnd"/>
      <w:r w:rsidR="000809DA" w:rsidRPr="001B1F5F">
        <w:rPr>
          <w:rFonts w:asciiTheme="minorHAnsi" w:hAnsiTheme="minorHAnsi" w:cstheme="minorHAnsi"/>
          <w:sz w:val="24"/>
          <w:szCs w:val="24"/>
          <w:lang w:val="en-ID"/>
        </w:rPr>
        <w:t>, 2018), social networks</w:t>
      </w:r>
      <w:r>
        <w:rPr>
          <w:rFonts w:asciiTheme="minorHAnsi" w:hAnsiTheme="minorHAnsi" w:cstheme="minorHAnsi"/>
          <w:sz w:val="24"/>
          <w:szCs w:val="24"/>
          <w:lang w:val="en-ID"/>
        </w:rPr>
        <w:t xml:space="preserve"> </w:t>
      </w:r>
      <w:r w:rsidR="000809DA" w:rsidRPr="001B1F5F">
        <w:rPr>
          <w:rFonts w:asciiTheme="minorHAnsi" w:hAnsiTheme="minorHAnsi" w:cstheme="minorHAnsi"/>
          <w:sz w:val="24"/>
          <w:szCs w:val="24"/>
          <w:lang w:val="en-ID"/>
        </w:rPr>
        <w:t xml:space="preserve">including political connections </w:t>
      </w:r>
      <w:r w:rsidR="00A601DC">
        <w:rPr>
          <w:rFonts w:asciiTheme="minorHAnsi" w:hAnsiTheme="minorHAnsi" w:cstheme="minorHAnsi"/>
          <w:sz w:val="24"/>
          <w:szCs w:val="24"/>
          <w:lang w:val="en-ID"/>
        </w:rPr>
        <w:fldChar w:fldCharType="begin"/>
      </w:r>
      <w:r w:rsidR="00A601DC">
        <w:rPr>
          <w:rFonts w:asciiTheme="minorHAnsi" w:hAnsiTheme="minorHAnsi" w:cstheme="minorHAnsi"/>
          <w:sz w:val="24"/>
          <w:szCs w:val="24"/>
          <w:lang w:val="en-ID"/>
        </w:rPr>
        <w:instrText xml:space="preserve"> ADDIN ZOTERO_ITEM CSL_CITATION {"citationID":"J6EBlw6p","properties":{"formattedCitation":"(Sugeng et al., 2020)","plainCitation":"(Sugeng et al., 2020)","noteIndex":0},"citationItems":[{"id":219,"uris":["http://zotero.org/users/local/1kuimZT3/items/VI9AXEUM"],"itemData":{"id":219,"type":"article-journal","abstract":"Tax aggressiveness is one of a critical issue in the world of taxation. Many companies do tax planning to minimize their tax abilities. This study aims to examine how capital intensity, inventory intensity, firm size, firm risk, and political connections, relate to the tax aggressiveness of manufacturing listed companies in Indonesia, an emerging economy of Southeast Asia. This study combined the tax aggressiveness factor from different perspectives into one model. This study used purposive sampling with manufacturing companies listed in Indonesia Stock Exchange during 2015-2017 and experienced a consecutive profit as the main criteria. Panel data regression used as a data analysis technique. The result shows that there is a significant effect between capital intensity, political connection, and tax aggressiveness. The relationship between inventory intensity, firm size, firm risk, and tax aggressiveness failed to prove in this study. This result is consistent across several measures of tax aggressiveness.","container-title":"JEMA: Jurnal Ilmiah Bidang Akuntansi dan Manajemen","DOI":"10.31106/jema.v17i1.3609","ISSN":"2597-4017","issue":"1","language":"en","license":"Copyright (c) 2020 JEMA: Jurnal Ilmiah Bidang Akuntansi dan Manajemen","note":"number: 1","page":"78-87","source":"riset.unisma.ac.id","title":"Does capital intensity, inventory intensity, firm size, firm risk, and political connections affect tax aggressiveness?","volume":"17","author":[{"family":"Sugeng","given":"Sugeng"},{"family":"Prasetyo","given":"Eko"},{"family":"Zaman","given":"Badrus"}],"issued":{"date-parts":[["2020",3,17]]}}}],"schema":"https://github.com/citation-style-language/schema/raw/master/csl-citation.json"} </w:instrText>
      </w:r>
      <w:r w:rsidR="00A601DC">
        <w:rPr>
          <w:rFonts w:asciiTheme="minorHAnsi" w:hAnsiTheme="minorHAnsi" w:cstheme="minorHAnsi"/>
          <w:sz w:val="24"/>
          <w:szCs w:val="24"/>
          <w:lang w:val="en-ID"/>
        </w:rPr>
        <w:fldChar w:fldCharType="separate"/>
      </w:r>
      <w:r w:rsidR="00A601DC" w:rsidRPr="00A601DC">
        <w:rPr>
          <w:rFonts w:cs="Calibri"/>
          <w:sz w:val="24"/>
        </w:rPr>
        <w:t xml:space="preserve">(Sugeng </w:t>
      </w:r>
      <w:r w:rsidR="00A601DC" w:rsidRPr="00A601DC">
        <w:rPr>
          <w:rFonts w:cs="Calibri"/>
          <w:i/>
          <w:iCs/>
          <w:sz w:val="24"/>
        </w:rPr>
        <w:t>et al.</w:t>
      </w:r>
      <w:r w:rsidR="00A601DC" w:rsidRPr="00A601DC">
        <w:rPr>
          <w:rFonts w:cs="Calibri"/>
          <w:sz w:val="24"/>
        </w:rPr>
        <w:t>, 2020</w:t>
      </w:r>
      <w:r w:rsidR="00A601DC">
        <w:rPr>
          <w:rFonts w:asciiTheme="minorHAnsi" w:hAnsiTheme="minorHAnsi" w:cstheme="minorHAnsi"/>
          <w:sz w:val="24"/>
          <w:szCs w:val="24"/>
          <w:lang w:val="en-ID"/>
        </w:rPr>
        <w:fldChar w:fldCharType="end"/>
      </w:r>
      <w:r w:rsidR="00A601DC">
        <w:rPr>
          <w:rFonts w:asciiTheme="minorHAnsi" w:hAnsiTheme="minorHAnsi" w:cstheme="minorHAnsi"/>
          <w:sz w:val="24"/>
          <w:szCs w:val="24"/>
          <w:lang w:val="en-ID"/>
        </w:rPr>
        <w:t>;</w:t>
      </w:r>
      <w:r w:rsidR="000809DA" w:rsidRPr="001B1F5F">
        <w:rPr>
          <w:rFonts w:asciiTheme="minorHAnsi" w:hAnsiTheme="minorHAnsi" w:cstheme="minorHAnsi"/>
          <w:sz w:val="24"/>
          <w:szCs w:val="24"/>
          <w:lang w:val="en-ID"/>
        </w:rPr>
        <w:t xml:space="preserve"> Putra &amp; </w:t>
      </w:r>
      <w:proofErr w:type="spellStart"/>
      <w:r w:rsidR="000809DA" w:rsidRPr="001B1F5F">
        <w:rPr>
          <w:rFonts w:asciiTheme="minorHAnsi" w:hAnsiTheme="minorHAnsi" w:cstheme="minorHAnsi"/>
          <w:sz w:val="24"/>
          <w:szCs w:val="24"/>
          <w:lang w:val="en-ID"/>
        </w:rPr>
        <w:t>Suhardianto</w:t>
      </w:r>
      <w:proofErr w:type="spellEnd"/>
      <w:r w:rsidR="000809DA" w:rsidRPr="001B1F5F">
        <w:rPr>
          <w:rFonts w:asciiTheme="minorHAnsi" w:hAnsiTheme="minorHAnsi" w:cstheme="minorHAnsi"/>
          <w:sz w:val="24"/>
          <w:szCs w:val="24"/>
          <w:lang w:val="en-ID"/>
        </w:rPr>
        <w:t xml:space="preserve">, 2020; </w:t>
      </w:r>
      <w:r w:rsidR="00A601DC">
        <w:rPr>
          <w:rFonts w:asciiTheme="minorHAnsi" w:hAnsiTheme="minorHAnsi" w:cstheme="minorHAnsi"/>
          <w:sz w:val="24"/>
          <w:szCs w:val="24"/>
          <w:lang w:val="en-ID"/>
        </w:rPr>
        <w:fldChar w:fldCharType="begin"/>
      </w:r>
      <w:r w:rsidR="00A601DC">
        <w:rPr>
          <w:rFonts w:asciiTheme="minorHAnsi" w:hAnsiTheme="minorHAnsi" w:cstheme="minorHAnsi"/>
          <w:sz w:val="24"/>
          <w:szCs w:val="24"/>
          <w:lang w:val="en-ID"/>
        </w:rPr>
        <w:instrText xml:space="preserve"> ADDIN ZOTERO_ITEM CSL_CITATION {"citationID":"AbXTOlXM","properties":{"formattedCitation":"(Widarjo et al., 2021)","plainCitation":"(Widarjo et al., 2021)","noteIndex":0},"citationItems":[{"id":342,"uris":["http://zotero.org/users/local/1kuimZT3/items/RZQGYB66"],"itemData":{"id":342,"type":"article-journal","abstract":"We analyze the influence of political connections on tax avoidance and the moderating role of corporate governance on the relationship between political connections and tax avoidance. The results of panel data regression analysis on 512 observations of manufacturing companies listed on the Indonesia Stock Exchange from 2014 to 2017 shows that political connections do not have a significant effect on tax avoidance. Furthermore, the results of the moderated regression analysis show that the effectiveness of corporate governance positively moderates the effect of political connections on tax avoidance. Although the results of this analysis indicate that a moderating effect on the effectiveness of corporate governance, but the direction of the regression coefficient is positive. Therefore, the second hypothesis in this study is rejected. The results of this study indicate that the corporate governance mechanism in the sample companies is still not optimal in reducing the level of tax avoidance.","container-title":"Jurnal Dinamika Akuntansi","DOI":"10.15294/jda.v13i1.26359","ISSN":"2502-6224","issue":"1","language":"en","license":"Copyright (c) 2021","note":"number: 1","page":"62-71","source":"journal.unnes.ac.id","title":"The Moderating Role of Corporate Governance on the Relationship between Political Connections and Tax Avoidance","volume":"13","author":[{"family":"Widarjo","given":"Wahyu"},{"family":"Sudaryono","given":"Eko Arief"},{"family":"Sutopo","given":"Bambang"},{"family":"Syafiqurrahman","given":"Muhammad"},{"family":"Juliati","given":"Juliati"}],"issued":{"date-parts":[["2021",6,9]]}}}],"schema":"https://github.com/citation-style-language/schema/raw/master/csl-citation.json"} </w:instrText>
      </w:r>
      <w:r w:rsidR="00A601DC">
        <w:rPr>
          <w:rFonts w:asciiTheme="minorHAnsi" w:hAnsiTheme="minorHAnsi" w:cstheme="minorHAnsi"/>
          <w:sz w:val="24"/>
          <w:szCs w:val="24"/>
          <w:lang w:val="en-ID"/>
        </w:rPr>
        <w:fldChar w:fldCharType="separate"/>
      </w:r>
      <w:r w:rsidR="00A601DC" w:rsidRPr="00A601DC">
        <w:rPr>
          <w:rFonts w:cs="Calibri"/>
          <w:sz w:val="24"/>
        </w:rPr>
        <w:t xml:space="preserve">Widarjo </w:t>
      </w:r>
      <w:r w:rsidR="00A601DC" w:rsidRPr="00A601DC">
        <w:rPr>
          <w:rFonts w:cs="Calibri"/>
          <w:i/>
          <w:iCs/>
          <w:sz w:val="24"/>
        </w:rPr>
        <w:t>et al.</w:t>
      </w:r>
      <w:r w:rsidR="00A601DC" w:rsidRPr="00A601DC">
        <w:rPr>
          <w:rFonts w:cs="Calibri"/>
          <w:sz w:val="24"/>
        </w:rPr>
        <w:t>, 2021</w:t>
      </w:r>
      <w:r w:rsidR="00A601DC">
        <w:rPr>
          <w:rFonts w:asciiTheme="minorHAnsi" w:hAnsiTheme="minorHAnsi" w:cstheme="minorHAnsi"/>
          <w:sz w:val="24"/>
          <w:szCs w:val="24"/>
          <w:lang w:val="en-ID"/>
        </w:rPr>
        <w:fldChar w:fldCharType="end"/>
      </w:r>
      <w:r w:rsidR="000809DA" w:rsidRPr="001B1F5F">
        <w:rPr>
          <w:rFonts w:asciiTheme="minorHAnsi" w:hAnsiTheme="minorHAnsi" w:cstheme="minorHAnsi"/>
          <w:sz w:val="24"/>
          <w:szCs w:val="24"/>
          <w:lang w:val="en-ID"/>
        </w:rPr>
        <w:t xml:space="preserve">; </w:t>
      </w:r>
      <w:r w:rsidR="00A601DC">
        <w:rPr>
          <w:rFonts w:asciiTheme="minorHAnsi" w:hAnsiTheme="minorHAnsi" w:cstheme="minorHAnsi"/>
          <w:sz w:val="24"/>
          <w:szCs w:val="24"/>
          <w:lang w:val="en-ID"/>
        </w:rPr>
        <w:fldChar w:fldCharType="begin"/>
      </w:r>
      <w:r w:rsidR="00A601DC">
        <w:rPr>
          <w:rFonts w:asciiTheme="minorHAnsi" w:hAnsiTheme="minorHAnsi" w:cstheme="minorHAnsi"/>
          <w:sz w:val="24"/>
          <w:szCs w:val="24"/>
          <w:lang w:val="en-ID"/>
        </w:rPr>
        <w:instrText xml:space="preserve"> ADDIN ZOTERO_ITEM CSL_CITATION {"citationID":"WFkBENk5","properties":{"formattedCitation":"(Alfiyah et al., 2022)","plainCitation":"(Alfiyah et al., 2022)","noteIndex":0},"citationItems":[{"id":301,"uris":["http://zotero.org/users/local/1kuimZT3/items/P5VUCNQB"],"itemData":{"id":301,"type":"article-journal","abstract":"Abstrak - Apakah Penghindaran Pajak Disebabkan oleh Koneksi Politik dan Karakteristik Eksekutif? Tujuan utama – Penelitianaini bertujuan untuk mengkaji peran koneksi politik dan karakteristik eksekutif faktor dalam penghindaran pajak.Metode - Analisis regresialinear berganda dan moderasi digunakan sebagai metode analisis. Perusahaan manufaktur yang tercatat dalam Bursa Indonesia selama periode 2017 hingga 2019 merupakan sampel pada penelitian ini.Temuan utama - Hasil penelitian ini mengungkapkan bahwa karakteristik eksekutif merupakan faktor pendorong perusahaan untuk lebih berani melakukan penghindaran pajak. Tindakan penghindaran pajak semakin meningkat apabila eksekutif bersifat risk taker. Sebaliknya, koneksi politik bukan faktor penyebab penghindaran pajak.Implikasi Teori dan Kebijakan - Buruknya kontrol dan pengawasan dari principal selaku pemilik perusahaan membuat agen cenderung melakukan tindakan berisiko. Prinsipal dan pemerintah harus memberikan pengawasan yang lebih optimal dan transparansi yang tinggi dengan mengaplikasikan tata kelola perusahaan yang baik.Kebaruan Penelitian – Penelitian ini menawarkan solusi tata kelola perusahaan yang baik untuk mengurangi kecurangan akuntansi (khususnya pada aspek penghindaran pajak) yang dilakukan pihak eksekutif perusahaan. Abstract - Is Tax Avoidance Caused by Political Connections and Executive Characteristics?Main Purpose – This study examines the role of political connections and executive characteristics of factors in tax avoidance.Method - Multiple linear regression and moderation analysis was used as the method. Manufacturing companies listed on the Indonesia Stock Exchange from 2017 to 2019 are the sample.Main Findings - The results of this study reveal that executive characteristics are a motivating factor for companies to be more daring to do tax avoidance. Tax avoidance measures increase if the executive is a risk-taker. On the other hand, political connections are not a factor in tax avoidance.Theory and Practical Implications - Poor control and supervision from the principal as the company owner makes agents tend to take risky actions. Principals and the government must provide more optimal leadership and high transparency by applying good corporate governance.Novelty – This study offers an excellent corporate governance solution to reduce accounting fraud (especially in the aspect of tax avoidance) by corporate executives.","container-title":"Jurnal Akuntansi Multiparadigma","DOI":"10.21776/ub.jamal.2021.13.1.03","ISSN":"2089-5879","issue":"1","language":"en","license":"Copyright (c) 2021 Nur Alfiyah","note":"number: 1","page":"32-41","source":"jamal.ub.ac.id","title":"IS TAX AVOIDANCE CAUSED BY POLITICAL CONNECTIONS AND EXECUTIVE CHARACTERISTICS?","volume":"13","author":[{"family":"Alfiyah","given":"Nur"},{"family":"Subroto","given":"Bambang"},{"family":"Ghofar","given":"Abdul"}],"issued":{"date-parts":[["2022",4,30]]}}}],"schema":"https://github.com/citation-style-language/schema/raw/master/csl-citation.json"} </w:instrText>
      </w:r>
      <w:r w:rsidR="00A601DC">
        <w:rPr>
          <w:rFonts w:asciiTheme="minorHAnsi" w:hAnsiTheme="minorHAnsi" w:cstheme="minorHAnsi"/>
          <w:sz w:val="24"/>
          <w:szCs w:val="24"/>
          <w:lang w:val="en-ID"/>
        </w:rPr>
        <w:fldChar w:fldCharType="separate"/>
      </w:r>
      <w:r w:rsidR="00A601DC" w:rsidRPr="00A601DC">
        <w:rPr>
          <w:rFonts w:cs="Calibri"/>
          <w:sz w:val="24"/>
        </w:rPr>
        <w:t xml:space="preserve">Alfiyah </w:t>
      </w:r>
      <w:r w:rsidR="00A601DC" w:rsidRPr="00A601DC">
        <w:rPr>
          <w:rFonts w:cs="Calibri"/>
          <w:i/>
          <w:iCs/>
          <w:sz w:val="24"/>
        </w:rPr>
        <w:t>et al</w:t>
      </w:r>
      <w:r w:rsidR="00A601DC" w:rsidRPr="00A601DC">
        <w:rPr>
          <w:rFonts w:cs="Calibri"/>
          <w:sz w:val="24"/>
        </w:rPr>
        <w:t>., 2022)</w:t>
      </w:r>
      <w:r w:rsidR="00A601DC">
        <w:rPr>
          <w:rFonts w:asciiTheme="minorHAnsi" w:hAnsiTheme="minorHAnsi" w:cstheme="minorHAnsi"/>
          <w:sz w:val="24"/>
          <w:szCs w:val="24"/>
          <w:lang w:val="en-ID"/>
        </w:rPr>
        <w:fldChar w:fldCharType="end"/>
      </w:r>
      <w:r w:rsidR="000809DA" w:rsidRPr="001B1F5F">
        <w:rPr>
          <w:rFonts w:asciiTheme="minorHAnsi" w:hAnsiTheme="minorHAnsi" w:cstheme="minorHAnsi"/>
          <w:sz w:val="24"/>
          <w:szCs w:val="24"/>
          <w:lang w:val="en-ID"/>
        </w:rPr>
        <w:t>, related-party transactions (</w:t>
      </w:r>
      <w:proofErr w:type="spellStart"/>
      <w:r w:rsidR="000809DA" w:rsidRPr="001B1F5F">
        <w:rPr>
          <w:rFonts w:asciiTheme="minorHAnsi" w:hAnsiTheme="minorHAnsi" w:cstheme="minorHAnsi"/>
          <w:sz w:val="24"/>
          <w:szCs w:val="24"/>
          <w:lang w:val="en-ID"/>
        </w:rPr>
        <w:t>Azizah</w:t>
      </w:r>
      <w:proofErr w:type="spellEnd"/>
      <w:r w:rsidR="000809DA" w:rsidRPr="001B1F5F">
        <w:rPr>
          <w:rFonts w:asciiTheme="minorHAnsi" w:hAnsiTheme="minorHAnsi" w:cstheme="minorHAnsi"/>
          <w:sz w:val="24"/>
          <w:szCs w:val="24"/>
          <w:lang w:val="en-ID"/>
        </w:rPr>
        <w:t xml:space="preserve"> &amp; </w:t>
      </w:r>
      <w:proofErr w:type="spellStart"/>
      <w:r w:rsidR="000809DA" w:rsidRPr="001B1F5F">
        <w:rPr>
          <w:rFonts w:asciiTheme="minorHAnsi" w:hAnsiTheme="minorHAnsi" w:cstheme="minorHAnsi"/>
          <w:sz w:val="24"/>
          <w:szCs w:val="24"/>
          <w:lang w:val="en-ID"/>
        </w:rPr>
        <w:t>Kusmuriyanto</w:t>
      </w:r>
      <w:proofErr w:type="spellEnd"/>
      <w:r w:rsidR="000809DA" w:rsidRPr="001B1F5F">
        <w:rPr>
          <w:rFonts w:asciiTheme="minorHAnsi" w:hAnsiTheme="minorHAnsi" w:cstheme="minorHAnsi"/>
          <w:sz w:val="24"/>
          <w:szCs w:val="24"/>
          <w:lang w:val="en-ID"/>
        </w:rPr>
        <w:t xml:space="preserve">, 2016; </w:t>
      </w:r>
      <w:proofErr w:type="spellStart"/>
      <w:r w:rsidR="000809DA" w:rsidRPr="001B1F5F">
        <w:rPr>
          <w:rFonts w:asciiTheme="minorHAnsi" w:hAnsiTheme="minorHAnsi" w:cstheme="minorHAnsi"/>
          <w:sz w:val="24"/>
          <w:szCs w:val="24"/>
          <w:lang w:val="en-ID"/>
        </w:rPr>
        <w:t>Ellyani</w:t>
      </w:r>
      <w:proofErr w:type="spellEnd"/>
      <w:r w:rsidR="000809DA" w:rsidRPr="001B1F5F">
        <w:rPr>
          <w:rFonts w:asciiTheme="minorHAnsi" w:hAnsiTheme="minorHAnsi" w:cstheme="minorHAnsi"/>
          <w:sz w:val="24"/>
          <w:szCs w:val="24"/>
          <w:lang w:val="en-ID"/>
        </w:rPr>
        <w:t xml:space="preserve"> &amp; </w:t>
      </w:r>
      <w:proofErr w:type="spellStart"/>
      <w:r w:rsidR="000809DA" w:rsidRPr="001B1F5F">
        <w:rPr>
          <w:rFonts w:asciiTheme="minorHAnsi" w:hAnsiTheme="minorHAnsi" w:cstheme="minorHAnsi"/>
          <w:sz w:val="24"/>
          <w:szCs w:val="24"/>
          <w:lang w:val="en-ID"/>
        </w:rPr>
        <w:t>Hudayati</w:t>
      </w:r>
      <w:proofErr w:type="spellEnd"/>
      <w:r w:rsidR="000809DA" w:rsidRPr="001B1F5F">
        <w:rPr>
          <w:rFonts w:asciiTheme="minorHAnsi" w:hAnsiTheme="minorHAnsi" w:cstheme="minorHAnsi"/>
          <w:sz w:val="24"/>
          <w:szCs w:val="24"/>
          <w:lang w:val="en-ID"/>
        </w:rPr>
        <w:t xml:space="preserve">, 2019; </w:t>
      </w:r>
      <w:r w:rsidR="00A601DC">
        <w:rPr>
          <w:rFonts w:asciiTheme="minorHAnsi" w:hAnsiTheme="minorHAnsi" w:cstheme="minorHAnsi"/>
          <w:sz w:val="24"/>
          <w:szCs w:val="24"/>
          <w:lang w:val="en-ID"/>
        </w:rPr>
        <w:fldChar w:fldCharType="begin"/>
      </w:r>
      <w:r w:rsidR="00A601DC">
        <w:rPr>
          <w:rFonts w:asciiTheme="minorHAnsi" w:hAnsiTheme="minorHAnsi" w:cstheme="minorHAnsi"/>
          <w:sz w:val="24"/>
          <w:szCs w:val="24"/>
          <w:lang w:val="en-ID"/>
        </w:rPr>
        <w:instrText xml:space="preserve"> ADDIN ZOTERO_ITEM CSL_CITATION {"citationID":"6QNwZ0d7","properties":{"formattedCitation":"(Rezeki et al., 2021)","plainCitation":"(Rezeki et al., 2021)","noteIndex":0},"citationItems":[{"id":444,"uris":["http://zotero.org/users/local/1kuimZT3/items/44S6BHPX"],"itemData":{"id":444,"type":"article-journal","abstract":"This study aims to provide empirical evidence of the effect of related party transactions on tax avoidance on mining sector companies listed in the Indonesia Stock Exchange. The research sample consists of 73 observations. We used Discretionary Permanent Book Tax Differences to measure the ratio of tax avoidance and used the composite value of the merging of sales, purchase, liability and receivable to related party through principal component analysis to measure related party transactions variables. The results of panel regression analysis show that related party transactions has a positive and significant effect on Discretionary Permanent Book Tax Differences. These results are consistent after re-testing by using a variable measurement of different tax avoidance, namely the Cash Effective Tax Rate. Furthermore, the results of the analysis per component of related party transactions show that only receivable transactions have a significant effect on tax avoidance. This study results indicate that in the taxation context, company policy in related party transactions is not conducted partially per component. Company management is likely to use all of the related party transactions methods so that the tax avoidance practices are not easily detected by stakeholders, particularly revenue officers.","container-title":"Jurnal Akuntansi dan Bisnis","DOI":"10.20961/jab.v21i2.689","ISSN":"2580-5444","issue":"2","language":"en","license":"Copyright (c) 2022 Jurnal Akuntansi dan Bisnis","note":"number: 2","page":"283-293","source":"jab.fe.uns.ac.id","title":"Related Party Transactions and Tax Avoidance: Study on Mining Company in Indonesia","title-short":"Related Party Transactions and Tax Avoidance","volume":"21","author":[{"family":"Rezeki","given":"Dwi Sri"},{"family":"Widarjo","given":"Wahyu"},{"family":"Sudaryono","given":"Eko Arief"},{"family":"Syafiqurrahman","given":"Muhammad"}],"issued":{"date-parts":[["2021",8,31]]}}}],"schema":"https://github.com/citation-style-language/schema/raw/master/csl-citation.json"} </w:instrText>
      </w:r>
      <w:r w:rsidR="00A601DC">
        <w:rPr>
          <w:rFonts w:asciiTheme="minorHAnsi" w:hAnsiTheme="minorHAnsi" w:cstheme="minorHAnsi"/>
          <w:sz w:val="24"/>
          <w:szCs w:val="24"/>
          <w:lang w:val="en-ID"/>
        </w:rPr>
        <w:fldChar w:fldCharType="separate"/>
      </w:r>
      <w:r w:rsidR="00A601DC" w:rsidRPr="00A601DC">
        <w:rPr>
          <w:rFonts w:cs="Calibri"/>
          <w:sz w:val="24"/>
        </w:rPr>
        <w:t xml:space="preserve">Rezeki </w:t>
      </w:r>
      <w:r w:rsidR="00A601DC" w:rsidRPr="00A601DC">
        <w:rPr>
          <w:rFonts w:cs="Calibri"/>
          <w:i/>
          <w:iCs/>
          <w:sz w:val="24"/>
        </w:rPr>
        <w:t>et al</w:t>
      </w:r>
      <w:r w:rsidR="00A601DC" w:rsidRPr="00A601DC">
        <w:rPr>
          <w:rFonts w:cs="Calibri"/>
          <w:sz w:val="24"/>
        </w:rPr>
        <w:t>., 2021</w:t>
      </w:r>
      <w:r w:rsidR="00A601DC">
        <w:rPr>
          <w:rFonts w:asciiTheme="minorHAnsi" w:hAnsiTheme="minorHAnsi" w:cstheme="minorHAnsi"/>
          <w:sz w:val="24"/>
          <w:szCs w:val="24"/>
          <w:lang w:val="en-ID"/>
        </w:rPr>
        <w:fldChar w:fldCharType="end"/>
      </w:r>
      <w:r w:rsidR="000809DA" w:rsidRPr="001B1F5F">
        <w:rPr>
          <w:rFonts w:asciiTheme="minorHAnsi" w:hAnsiTheme="minorHAnsi" w:cstheme="minorHAnsi"/>
          <w:sz w:val="24"/>
          <w:szCs w:val="24"/>
          <w:lang w:val="en-ID"/>
        </w:rPr>
        <w:t xml:space="preserve">; </w:t>
      </w:r>
      <w:proofErr w:type="spellStart"/>
      <w:r w:rsidR="000809DA" w:rsidRPr="001B1F5F">
        <w:rPr>
          <w:rFonts w:asciiTheme="minorHAnsi" w:hAnsiTheme="minorHAnsi" w:cstheme="minorHAnsi"/>
          <w:sz w:val="24"/>
          <w:szCs w:val="24"/>
          <w:lang w:val="en-ID"/>
        </w:rPr>
        <w:t>Nurhidayah</w:t>
      </w:r>
      <w:proofErr w:type="spellEnd"/>
      <w:r w:rsidR="000809DA" w:rsidRPr="001B1F5F">
        <w:rPr>
          <w:rFonts w:asciiTheme="minorHAnsi" w:hAnsiTheme="minorHAnsi" w:cstheme="minorHAnsi"/>
          <w:sz w:val="24"/>
          <w:szCs w:val="24"/>
          <w:lang w:val="en-ID"/>
        </w:rPr>
        <w:t xml:space="preserve"> &amp; </w:t>
      </w:r>
      <w:proofErr w:type="spellStart"/>
      <w:r w:rsidR="000809DA" w:rsidRPr="001B1F5F">
        <w:rPr>
          <w:rFonts w:asciiTheme="minorHAnsi" w:hAnsiTheme="minorHAnsi" w:cstheme="minorHAnsi"/>
          <w:sz w:val="24"/>
          <w:szCs w:val="24"/>
          <w:lang w:val="en-ID"/>
        </w:rPr>
        <w:t>Rahmawati</w:t>
      </w:r>
      <w:proofErr w:type="spellEnd"/>
      <w:r w:rsidR="000809DA" w:rsidRPr="001B1F5F">
        <w:rPr>
          <w:rFonts w:asciiTheme="minorHAnsi" w:hAnsiTheme="minorHAnsi" w:cstheme="minorHAnsi"/>
          <w:sz w:val="24"/>
          <w:szCs w:val="24"/>
          <w:lang w:val="en-ID"/>
        </w:rPr>
        <w:t xml:space="preserve">, 2022), the utilization of tax havens (Damayanti &amp; </w:t>
      </w:r>
      <w:proofErr w:type="spellStart"/>
      <w:r w:rsidR="000809DA" w:rsidRPr="001B1F5F">
        <w:rPr>
          <w:rFonts w:asciiTheme="minorHAnsi" w:hAnsiTheme="minorHAnsi" w:cstheme="minorHAnsi"/>
          <w:sz w:val="24"/>
          <w:szCs w:val="24"/>
          <w:lang w:val="en-ID"/>
        </w:rPr>
        <w:t>Prastiwi</w:t>
      </w:r>
      <w:proofErr w:type="spellEnd"/>
      <w:r w:rsidR="000809DA" w:rsidRPr="001B1F5F">
        <w:rPr>
          <w:rFonts w:asciiTheme="minorHAnsi" w:hAnsiTheme="minorHAnsi" w:cstheme="minorHAnsi"/>
          <w:sz w:val="24"/>
          <w:szCs w:val="24"/>
          <w:lang w:val="en-ID"/>
        </w:rPr>
        <w:t>, 2017), and external governance such as external audit (</w:t>
      </w:r>
      <w:proofErr w:type="spellStart"/>
      <w:r w:rsidR="000809DA" w:rsidRPr="001B1F5F">
        <w:rPr>
          <w:rFonts w:asciiTheme="minorHAnsi" w:hAnsiTheme="minorHAnsi" w:cstheme="minorHAnsi"/>
          <w:sz w:val="24"/>
          <w:szCs w:val="24"/>
          <w:lang w:val="en-ID"/>
        </w:rPr>
        <w:t>Suyono</w:t>
      </w:r>
      <w:proofErr w:type="spellEnd"/>
      <w:r w:rsidR="000809DA" w:rsidRPr="001B1F5F">
        <w:rPr>
          <w:rFonts w:asciiTheme="minorHAnsi" w:hAnsiTheme="minorHAnsi" w:cstheme="minorHAnsi"/>
          <w:sz w:val="24"/>
          <w:szCs w:val="24"/>
          <w:lang w:val="en-ID"/>
        </w:rPr>
        <w:t xml:space="preserve">, 2018; </w:t>
      </w:r>
      <w:proofErr w:type="spellStart"/>
      <w:r w:rsidR="000809DA" w:rsidRPr="001B1F5F">
        <w:rPr>
          <w:rFonts w:asciiTheme="minorHAnsi" w:hAnsiTheme="minorHAnsi" w:cstheme="minorHAnsi"/>
          <w:sz w:val="24"/>
          <w:szCs w:val="24"/>
          <w:lang w:val="en-ID"/>
        </w:rPr>
        <w:t>Maraya</w:t>
      </w:r>
      <w:proofErr w:type="spellEnd"/>
      <w:r w:rsidR="000809DA" w:rsidRPr="001B1F5F">
        <w:rPr>
          <w:rFonts w:asciiTheme="minorHAnsi" w:hAnsiTheme="minorHAnsi" w:cstheme="minorHAnsi"/>
          <w:sz w:val="24"/>
          <w:szCs w:val="24"/>
          <w:lang w:val="en-ID"/>
        </w:rPr>
        <w:t xml:space="preserve"> &amp; </w:t>
      </w:r>
      <w:proofErr w:type="spellStart"/>
      <w:r w:rsidR="000809DA" w:rsidRPr="001B1F5F">
        <w:rPr>
          <w:rFonts w:asciiTheme="minorHAnsi" w:hAnsiTheme="minorHAnsi" w:cstheme="minorHAnsi"/>
          <w:sz w:val="24"/>
          <w:szCs w:val="24"/>
          <w:lang w:val="en-ID"/>
        </w:rPr>
        <w:t>Yendrawati</w:t>
      </w:r>
      <w:proofErr w:type="spellEnd"/>
      <w:r w:rsidR="000809DA" w:rsidRPr="001B1F5F">
        <w:rPr>
          <w:rFonts w:asciiTheme="minorHAnsi" w:hAnsiTheme="minorHAnsi" w:cstheme="minorHAnsi"/>
          <w:sz w:val="24"/>
          <w:szCs w:val="24"/>
          <w:lang w:val="en-ID"/>
        </w:rPr>
        <w:t xml:space="preserve">, 2016; </w:t>
      </w:r>
      <w:r w:rsidR="00A601DC">
        <w:rPr>
          <w:rFonts w:asciiTheme="minorHAnsi" w:hAnsiTheme="minorHAnsi" w:cstheme="minorHAnsi"/>
          <w:sz w:val="24"/>
          <w:szCs w:val="24"/>
          <w:lang w:val="en-ID"/>
        </w:rPr>
        <w:fldChar w:fldCharType="begin"/>
      </w:r>
      <w:r w:rsidR="00A601DC">
        <w:rPr>
          <w:rFonts w:asciiTheme="minorHAnsi" w:hAnsiTheme="minorHAnsi" w:cstheme="minorHAnsi"/>
          <w:sz w:val="24"/>
          <w:szCs w:val="24"/>
          <w:lang w:val="en-ID"/>
        </w:rPr>
        <w:instrText xml:space="preserve"> ADDIN ZOTERO_ITEM CSL_CITATION {"citationID":"4QzKNgMW","properties":{"formattedCitation":"(Suryatimur et al., 2020)","plainCitation":"(Suryatimur et al., 2020)","noteIndex":0},"citationItems":[{"id":438,"uris":["http://zotero.org/users/local/1kuimZT3/items/VJCWXVED"],"itemData":{"id":438,"type":"article-journal","abstract":"Corporate governance in the company plays a role as a system of control and supervision of management. Management as an agent working for the principal (shareholder) has the goal of realizing good company performance and should not take tax avoidance, therefore corporate governance has a role to ensure management actions do not deviate from existing regulations. This study examines the relationship between company performance and corporate governance on tax avoidance by management. This study analyzes company performance represented by return on assets (ROA), corporate governance is represented by the audit quality, the number of audit committee members and the percentage of independent commissioners and tax avoidance represented by the earning tax ratio (ETR.). Company size and leverage represented by debt to equity (DER) as a control variable. This study uses an econometric methodology with multiple linear regression analysis tools. The results showed that company performance had no significant effect. Audit quality had no significant effect. Meanwhile, the number of audit committee and the proportion of independent commissioners have a significant influence on tax avoidance. Based on the results of this study it can be shown that it is necessary to increase the number of members of the audit committee and the percentage of independent commissioners in the company, so as to improve control and supervision and to suppress tax avoidance. Corporate governance pada perusahaan menjalankan peran sebagai sistem pengendalian dan pengawasan terhadap manajemen. Manajemen sebagai agen bekerja untuk prinsipal (pemegang saham) memiliki tujuan mewujudkan kinerja perusahaan yang baik dan seharusnya tidak melakukan tindakan tax avoidance, oleh karena itu corporate governance memiliki peran memastikan tindakan manajemen tidak menyimpang dari peraturan yang ada. Penelitian ini menguji hubungan kinerja perusahaan dan corporate governance terhadap tindakan tax avoidance oleh manajeman. Penelitian ini menganalisis kinerja perusahaan yang diwakili oleh variabel return on asset (ROA), corporate governance diwakili oleh variabel kualitas audit, jumlah anggota komite audit dan prosentase komisaris independen dan tax avoidance diwakili variabel earning tax ratio (ETR) dengan ukuran perusahaan dan leverage yang diwakili debt to equity (DER) sebagai variabel kontrol. Penelitian ini menggunakan metodologi ekonometrika dengan alat analisis regresi linier berganda. Hasil penelitian menunjukkan kinerja perusahaan tidak berpengaruh signifikan, kualitas audit tidak berpengaruh signifikan. Sementara jumlah komite audit dan prosentase komisaris independen memiliki pengaruh signifikan terhadap tax avoidance. Berdasarkan hasil penelitian ini dapat menunjukkan bahwa perlu meningkatkan jumlah anggota komite audit dan prosentase komisaris independen pada perusahaan, sehingga dapat meningkatkan pengendalian dan pengawasan serta dapat menekan tindakan tax avoidance.","container-title":"AdBispreneur : Jurnal Pemikiran dan Penelitian Administrasi Bisnis dan Kewirausahaan","DOI":"10.24198/adbispreneur.v5i2.28795","ISSN":"2549-9912","issue":"2","language":"id","license":"Copyright (c) 2020 AdBispreneur : Jurnal Pemikiran dan Penelitian Administrasi Bisnis dan Kewirausahaan","note":"number: 2","page":"171-181","source":"jurnal.unpad.ac.id","title":"PENGARUH KINERJA PERUSAHAAN DAN CORPORATE GOVERNANCE TERHADAP TAX AVOIDANCE PADA PERUSAHAAN SEKTOR MANUFAKTUR TAHUN 2016–2018","volume":"5","author":[{"family":"Suryatimur","given":"Kartika Pradana"},{"family":"Panjawa","given":"Jihad Lukis"},{"family":"Khabibah","given":"Nibras Anny"}],"issued":{"date-parts":[["2020",12,9]]}}}],"schema":"https://github.com/citation-style-language/schema/raw/master/csl-citation.json"} </w:instrText>
      </w:r>
      <w:r w:rsidR="00A601DC">
        <w:rPr>
          <w:rFonts w:asciiTheme="minorHAnsi" w:hAnsiTheme="minorHAnsi" w:cstheme="minorHAnsi"/>
          <w:sz w:val="24"/>
          <w:szCs w:val="24"/>
          <w:lang w:val="en-ID"/>
        </w:rPr>
        <w:fldChar w:fldCharType="separate"/>
      </w:r>
      <w:r w:rsidR="00A601DC" w:rsidRPr="00A601DC">
        <w:rPr>
          <w:rFonts w:cs="Calibri"/>
          <w:sz w:val="24"/>
        </w:rPr>
        <w:t xml:space="preserve">Suryatimur </w:t>
      </w:r>
      <w:r w:rsidR="00A601DC" w:rsidRPr="00A601DC">
        <w:rPr>
          <w:rFonts w:cs="Calibri"/>
          <w:i/>
          <w:iCs/>
          <w:sz w:val="24"/>
        </w:rPr>
        <w:t>et al</w:t>
      </w:r>
      <w:r w:rsidR="00A601DC" w:rsidRPr="00A601DC">
        <w:rPr>
          <w:rFonts w:cs="Calibri"/>
          <w:sz w:val="24"/>
        </w:rPr>
        <w:t>., 2020</w:t>
      </w:r>
      <w:r w:rsidR="00A601DC">
        <w:rPr>
          <w:rFonts w:asciiTheme="minorHAnsi" w:hAnsiTheme="minorHAnsi" w:cstheme="minorHAnsi"/>
          <w:sz w:val="24"/>
          <w:szCs w:val="24"/>
          <w:lang w:val="en-ID"/>
        </w:rPr>
        <w:fldChar w:fldCharType="end"/>
      </w:r>
      <w:r w:rsidR="000809DA" w:rsidRPr="001B1F5F">
        <w:rPr>
          <w:rFonts w:asciiTheme="minorHAnsi" w:hAnsiTheme="minorHAnsi" w:cstheme="minorHAnsi"/>
          <w:sz w:val="24"/>
          <w:szCs w:val="24"/>
          <w:lang w:val="en-ID"/>
        </w:rPr>
        <w:t xml:space="preserve">; </w:t>
      </w:r>
      <w:r w:rsidR="00A601DC">
        <w:rPr>
          <w:rFonts w:asciiTheme="minorHAnsi" w:hAnsiTheme="minorHAnsi" w:cstheme="minorHAnsi"/>
          <w:sz w:val="24"/>
          <w:szCs w:val="24"/>
          <w:lang w:val="en-ID"/>
        </w:rPr>
        <w:fldChar w:fldCharType="begin"/>
      </w:r>
      <w:r w:rsidR="00A601DC">
        <w:rPr>
          <w:rFonts w:asciiTheme="minorHAnsi" w:hAnsiTheme="minorHAnsi" w:cstheme="minorHAnsi"/>
          <w:sz w:val="24"/>
          <w:szCs w:val="24"/>
          <w:lang w:val="en-ID"/>
        </w:rPr>
        <w:instrText xml:space="preserve"> ADDIN ZOTERO_ITEM CSL_CITATION {"citationID":"JKY7aTQ9","properties":{"formattedCitation":"(Alkausar et al., 2021)","plainCitation":"(Alkausar et al., 2021)","noteIndex":0},"citationItems":[{"id":365,"uris":["http://zotero.org/users/local/1kuimZT3/items/43PAC2P5"],"itemData":{"id":365,"type":"article-journal","abstract":"The study aimed to provide evidence of whether corporate governance can lower the tendency of companies to perform tax aggressiveness. The term of Tax Aggressiveness was used to further expand the meaning of the act of minimizing taxes by companies. The cash effective tax rate was used as an indicator of the tax aggressiveness of companies. Meanwhile, corporate governance was measured by the institutional ownership, independent commissioner, audit committee, and audit quality. Samples used were the manufacturing companies listed on the Indonesia Stock Exchange (BEI) in 2018. Results of the 97 samples observed indicated that independent commissioners proved to be able to suppress the tendency of companies to commit Tax Aggressiveness; meanwhile, the institutional ownership, audit committee, and audit quality was not proven. The existence of the independent commissioners is able to influence the decisions in creating policies that are set by the management, so the management does not perform an opportunistic action that would benefit the management including committing Tax Aggressiveness.","container-title":"Jurnal Reviu Akuntansi dan Keuangan","DOI":"10.22219/jrak.v11i1.15610","ISSN":"2615-2223","issue":"1","language":"en","license":"Copyright (c) 2021 Bani Alkausar, Farel Badar  Kawakibi, Mienati Somya  Lasmana","note":"number: 1","page":"138-149","source":"ejournal.umm.ac.id","title":"Corporate Governance And Tax Aggressiveness: Agency Theory Relationship","title-short":"Corporate Governance And Tax Aggressiveness","volume":"11","author":[{"family":"Alkausar","given":"Bani"},{"family":"Kawakibi","given":"Farel Badar"},{"family":"Lasmana","given":"Mienati Somya"}],"issued":{"date-parts":[["2021",4,30]]}}}],"schema":"https://github.com/citation-style-language/schema/raw/master/csl-citation.json"} </w:instrText>
      </w:r>
      <w:r w:rsidR="00A601DC">
        <w:rPr>
          <w:rFonts w:asciiTheme="minorHAnsi" w:hAnsiTheme="minorHAnsi" w:cstheme="minorHAnsi"/>
          <w:sz w:val="24"/>
          <w:szCs w:val="24"/>
          <w:lang w:val="en-ID"/>
        </w:rPr>
        <w:fldChar w:fldCharType="separate"/>
      </w:r>
      <w:r w:rsidR="00A601DC" w:rsidRPr="00A601DC">
        <w:rPr>
          <w:rFonts w:cs="Calibri"/>
          <w:sz w:val="24"/>
        </w:rPr>
        <w:t xml:space="preserve">Alkausar </w:t>
      </w:r>
      <w:r w:rsidR="00A601DC" w:rsidRPr="00A601DC">
        <w:rPr>
          <w:rFonts w:cs="Calibri"/>
          <w:i/>
          <w:iCs/>
          <w:sz w:val="24"/>
        </w:rPr>
        <w:t>et al</w:t>
      </w:r>
      <w:r w:rsidR="00A601DC" w:rsidRPr="00A601DC">
        <w:rPr>
          <w:rFonts w:cs="Calibri"/>
          <w:sz w:val="24"/>
        </w:rPr>
        <w:t>., 2021)</w:t>
      </w:r>
      <w:r w:rsidR="00A601DC">
        <w:rPr>
          <w:rFonts w:asciiTheme="minorHAnsi" w:hAnsiTheme="minorHAnsi" w:cstheme="minorHAnsi"/>
          <w:sz w:val="24"/>
          <w:szCs w:val="24"/>
          <w:lang w:val="en-ID"/>
        </w:rPr>
        <w:fldChar w:fldCharType="end"/>
      </w:r>
      <w:r w:rsidR="000809DA" w:rsidRPr="001B1F5F">
        <w:rPr>
          <w:rFonts w:asciiTheme="minorHAnsi" w:hAnsiTheme="minorHAnsi" w:cstheme="minorHAnsi"/>
          <w:sz w:val="24"/>
          <w:szCs w:val="24"/>
          <w:lang w:val="en-ID"/>
        </w:rPr>
        <w:t>.</w:t>
      </w:r>
    </w:p>
    <w:p w14:paraId="05DFE156" w14:textId="53B8CEFA" w:rsidR="000809DA" w:rsidRPr="001B1F5F" w:rsidRDefault="000809DA" w:rsidP="008A6461">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Research on tax avoidance is a highly expansive field, making it compelling for further exploration in this context. To date, research considering external factors as determinants in tax avoidance is limited in number, and its findings have yet to provide definitive conclusions. Moreover, the utilization of measurement proxies adopting more detailed models for assessing </w:t>
      </w:r>
      <w:r w:rsidR="003A0AC5">
        <w:rPr>
          <w:rFonts w:asciiTheme="minorHAnsi" w:hAnsiTheme="minorHAnsi" w:cstheme="minorHAnsi"/>
          <w:sz w:val="24"/>
          <w:szCs w:val="24"/>
          <w:lang w:val="en-ID"/>
        </w:rPr>
        <w:t xml:space="preserve">conforming </w:t>
      </w:r>
      <w:r w:rsidRPr="001B1F5F">
        <w:rPr>
          <w:rFonts w:asciiTheme="minorHAnsi" w:hAnsiTheme="minorHAnsi" w:cstheme="minorHAnsi"/>
          <w:sz w:val="24"/>
          <w:szCs w:val="24"/>
          <w:lang w:val="en-ID"/>
        </w:rPr>
        <w:t>tax avoidance remains limited.</w:t>
      </w:r>
    </w:p>
    <w:p w14:paraId="2E2088D6" w14:textId="60751217" w:rsidR="000809DA" w:rsidRPr="001B1F5F" w:rsidRDefault="00FE39EE" w:rsidP="000809DA">
      <w:pPr>
        <w:pStyle w:val="NoSpacing"/>
        <w:ind w:firstLine="720"/>
        <w:jc w:val="both"/>
        <w:rPr>
          <w:rFonts w:asciiTheme="minorHAnsi" w:hAnsiTheme="minorHAnsi" w:cstheme="minorHAnsi"/>
          <w:sz w:val="24"/>
          <w:szCs w:val="24"/>
          <w:lang w:val="en-ID"/>
        </w:rPr>
      </w:pPr>
      <w:r>
        <w:rPr>
          <w:rFonts w:asciiTheme="minorHAnsi" w:hAnsiTheme="minorHAnsi" w:cstheme="minorHAnsi"/>
          <w:sz w:val="24"/>
          <w:szCs w:val="24"/>
          <w:lang w:val="en-ID"/>
        </w:rPr>
        <w:t xml:space="preserve">Furthermore, as suggested by </w:t>
      </w:r>
      <w:r w:rsidR="00A601DC">
        <w:rPr>
          <w:rFonts w:asciiTheme="minorHAnsi" w:hAnsiTheme="minorHAnsi" w:cstheme="minorHAnsi"/>
          <w:sz w:val="24"/>
          <w:szCs w:val="24"/>
          <w:lang w:val="en-ID"/>
        </w:rPr>
        <w:fldChar w:fldCharType="begin"/>
      </w:r>
      <w:r w:rsidR="00A601DC">
        <w:rPr>
          <w:rFonts w:asciiTheme="minorHAnsi" w:hAnsiTheme="minorHAnsi" w:cstheme="minorHAnsi"/>
          <w:sz w:val="24"/>
          <w:szCs w:val="24"/>
          <w:lang w:val="en-ID"/>
        </w:rPr>
        <w:instrText xml:space="preserve"> ADDIN ZOTERO_ITEM CSL_CITATION {"citationID":"M2J9biTG","properties":{"formattedCitation":"(Desai et al., 2007)","plainCitation":"(Desai et al., 2007)","noteIndex":0},"citationItems":[{"id":671,"uris":["http://zotero.org/users/local/1kuimZT3/items/EP4MCREQ"],"itemData":{"id":671,"type":"article-journal","abstract":"This paper analyzes the interaction between corporate taxes and corporate governance. We show that the design of the corporate tax system affects the amount of private benefits extracted by company insiders and that the quality of the corporate governance system affects the sensitivity of tax revenues to tax changes. Analyses of a tax enforcement crackdown in Russia and cross-country data on tax changes support this two-way interaction between corporate governance and corporate taxation.","container-title":"Journal of Financial Economics","DOI":"10.1016/j.jfineco.2006.05.005","ISSN":"0304-405X","issue":"3","journalAbbreviation":"Journal of Financial Economics","language":"en","page":"591-623","source":"ScienceDirect","title":"Theft and taxes","volume":"84","author":[{"family":"Desai","given":"Mihir A."},{"family":"Dyck","given":"Alexander"},{"family":"Zingales","given":"Luigi"}],"issued":{"date-parts":[["2007",6,1]]}}}],"schema":"https://github.com/citation-style-language/schema/raw/master/csl-citation.json"} </w:instrText>
      </w:r>
      <w:r w:rsidR="00A601DC">
        <w:rPr>
          <w:rFonts w:asciiTheme="minorHAnsi" w:hAnsiTheme="minorHAnsi" w:cstheme="minorHAnsi"/>
          <w:sz w:val="24"/>
          <w:szCs w:val="24"/>
          <w:lang w:val="en-ID"/>
        </w:rPr>
        <w:fldChar w:fldCharType="separate"/>
      </w:r>
      <w:r w:rsidR="00A601DC" w:rsidRPr="00A601DC">
        <w:rPr>
          <w:rFonts w:cs="Calibri"/>
          <w:sz w:val="24"/>
        </w:rPr>
        <w:t xml:space="preserve">Desai </w:t>
      </w:r>
      <w:r w:rsidR="00A601DC" w:rsidRPr="00A601DC">
        <w:rPr>
          <w:rFonts w:cs="Calibri"/>
          <w:i/>
          <w:iCs/>
          <w:sz w:val="24"/>
        </w:rPr>
        <w:t>et al</w:t>
      </w:r>
      <w:r w:rsidR="00A601DC" w:rsidRPr="00A601DC">
        <w:rPr>
          <w:rFonts w:cs="Calibri"/>
          <w:sz w:val="24"/>
        </w:rPr>
        <w:t>.</w:t>
      </w:r>
      <w:r w:rsidR="00A601DC">
        <w:rPr>
          <w:rFonts w:cs="Calibri"/>
          <w:sz w:val="24"/>
        </w:rPr>
        <w:t xml:space="preserve"> (</w:t>
      </w:r>
      <w:r w:rsidR="00A601DC" w:rsidRPr="00A601DC">
        <w:rPr>
          <w:rFonts w:cs="Calibri"/>
          <w:sz w:val="24"/>
        </w:rPr>
        <w:t>2007)</w:t>
      </w:r>
      <w:r w:rsidR="00A601DC">
        <w:rPr>
          <w:rFonts w:asciiTheme="minorHAnsi" w:hAnsiTheme="minorHAnsi" w:cstheme="minorHAnsi"/>
          <w:sz w:val="24"/>
          <w:szCs w:val="24"/>
          <w:lang w:val="en-ID"/>
        </w:rPr>
        <w:fldChar w:fldCharType="end"/>
      </w:r>
      <w:r>
        <w:rPr>
          <w:rFonts w:asciiTheme="minorHAnsi" w:hAnsiTheme="minorHAnsi" w:cstheme="minorHAnsi"/>
          <w:sz w:val="24"/>
          <w:szCs w:val="24"/>
          <w:lang w:val="en-ID"/>
        </w:rPr>
        <w:t xml:space="preserve">, </w:t>
      </w:r>
      <w:r w:rsidR="000809DA" w:rsidRPr="001B1F5F">
        <w:rPr>
          <w:rFonts w:asciiTheme="minorHAnsi" w:hAnsiTheme="minorHAnsi" w:cstheme="minorHAnsi"/>
          <w:sz w:val="24"/>
          <w:szCs w:val="24"/>
          <w:lang w:val="en-ID"/>
        </w:rPr>
        <w:t xml:space="preserve">law enforcement </w:t>
      </w:r>
      <w:r w:rsidR="001971CF">
        <w:rPr>
          <w:rFonts w:asciiTheme="minorHAnsi" w:hAnsiTheme="minorHAnsi" w:cstheme="minorHAnsi"/>
          <w:sz w:val="24"/>
          <w:szCs w:val="24"/>
          <w:lang w:val="en-ID"/>
        </w:rPr>
        <w:t>efforts</w:t>
      </w:r>
      <w:r w:rsidR="000809DA" w:rsidRPr="001B1F5F">
        <w:rPr>
          <w:rFonts w:asciiTheme="minorHAnsi" w:hAnsiTheme="minorHAnsi" w:cstheme="minorHAnsi"/>
          <w:sz w:val="24"/>
          <w:szCs w:val="24"/>
          <w:lang w:val="en-ID"/>
        </w:rPr>
        <w:t xml:space="preserve"> in the taxation domain carried out by regulators have the potential to mitigate agency conflicts between managers and company owners. Therefore, researchers argue that it is crucial to explore the influences of factors related to regulators, particularly in the context of tax law enforcement, along with other external factors like related-party transactions and external audits on </w:t>
      </w:r>
      <w:r w:rsidR="003A0AC5">
        <w:rPr>
          <w:rFonts w:asciiTheme="minorHAnsi" w:hAnsiTheme="minorHAnsi" w:cstheme="minorHAnsi"/>
          <w:sz w:val="24"/>
          <w:szCs w:val="24"/>
          <w:lang w:val="en-ID"/>
        </w:rPr>
        <w:t xml:space="preserve">conforming </w:t>
      </w:r>
      <w:r w:rsidR="000809DA" w:rsidRPr="001B1F5F">
        <w:rPr>
          <w:rFonts w:asciiTheme="minorHAnsi" w:hAnsiTheme="minorHAnsi" w:cstheme="minorHAnsi"/>
          <w:sz w:val="24"/>
          <w:szCs w:val="24"/>
          <w:lang w:val="en-ID"/>
        </w:rPr>
        <w:t>tax avoidance practices in Indonesia.</w:t>
      </w:r>
    </w:p>
    <w:p w14:paraId="6A8B1B27" w14:textId="77777777" w:rsidR="00C87286" w:rsidRPr="001B1F5F" w:rsidRDefault="00C87286" w:rsidP="00192F97">
      <w:pPr>
        <w:pStyle w:val="NoSpacing"/>
        <w:jc w:val="both"/>
        <w:rPr>
          <w:rFonts w:asciiTheme="minorHAnsi" w:hAnsiTheme="minorHAnsi" w:cstheme="minorHAnsi"/>
          <w:sz w:val="24"/>
          <w:szCs w:val="24"/>
        </w:rPr>
      </w:pPr>
    </w:p>
    <w:p w14:paraId="759D93BC" w14:textId="1EED9E5D" w:rsidR="00BB2979" w:rsidRPr="001B1F5F" w:rsidRDefault="00BB2979" w:rsidP="0018729A">
      <w:pPr>
        <w:pStyle w:val="NoSpacing"/>
        <w:spacing w:after="120"/>
        <w:jc w:val="both"/>
        <w:rPr>
          <w:rFonts w:asciiTheme="minorHAnsi" w:hAnsiTheme="minorHAnsi" w:cstheme="minorHAnsi"/>
          <w:b/>
          <w:sz w:val="24"/>
          <w:szCs w:val="24"/>
        </w:rPr>
      </w:pPr>
      <w:r w:rsidRPr="001B1F5F">
        <w:rPr>
          <w:rFonts w:asciiTheme="minorHAnsi" w:hAnsiTheme="minorHAnsi" w:cstheme="minorHAnsi"/>
          <w:b/>
          <w:sz w:val="24"/>
          <w:szCs w:val="24"/>
        </w:rPr>
        <w:t>LITERATUR</w:t>
      </w:r>
      <w:r w:rsidR="0018729A" w:rsidRPr="001B1F5F">
        <w:rPr>
          <w:rFonts w:asciiTheme="minorHAnsi" w:hAnsiTheme="minorHAnsi" w:cstheme="minorHAnsi"/>
          <w:b/>
          <w:sz w:val="24"/>
          <w:szCs w:val="24"/>
        </w:rPr>
        <w:t xml:space="preserve">E REVIEW AND </w:t>
      </w:r>
      <w:r w:rsidR="00615EB0" w:rsidRPr="001B1F5F">
        <w:rPr>
          <w:rFonts w:asciiTheme="minorHAnsi" w:hAnsiTheme="minorHAnsi" w:cstheme="minorHAnsi"/>
          <w:b/>
          <w:sz w:val="24"/>
          <w:szCs w:val="24"/>
        </w:rPr>
        <w:t>HYPOTHESIS</w:t>
      </w:r>
      <w:r w:rsidR="0018729A" w:rsidRPr="001B1F5F">
        <w:rPr>
          <w:rFonts w:asciiTheme="minorHAnsi" w:hAnsiTheme="minorHAnsi" w:cstheme="minorHAnsi"/>
          <w:b/>
          <w:sz w:val="24"/>
          <w:szCs w:val="24"/>
        </w:rPr>
        <w:t xml:space="preserve"> DEVELOPMENT</w:t>
      </w:r>
    </w:p>
    <w:p w14:paraId="39399B11" w14:textId="77777777" w:rsidR="0018729A" w:rsidRPr="001B1F5F" w:rsidRDefault="0018729A" w:rsidP="0018729A">
      <w:pPr>
        <w:pStyle w:val="NoSpacing"/>
        <w:spacing w:after="120"/>
        <w:jc w:val="both"/>
        <w:rPr>
          <w:rFonts w:asciiTheme="minorHAnsi" w:hAnsiTheme="minorHAnsi" w:cstheme="minorHAnsi"/>
          <w:b/>
          <w:sz w:val="24"/>
          <w:szCs w:val="24"/>
        </w:rPr>
      </w:pPr>
      <w:r w:rsidRPr="001B1F5F">
        <w:rPr>
          <w:rFonts w:asciiTheme="minorHAnsi" w:hAnsiTheme="minorHAnsi" w:cstheme="minorHAnsi"/>
          <w:b/>
          <w:sz w:val="24"/>
          <w:szCs w:val="24"/>
        </w:rPr>
        <w:t xml:space="preserve">Literature Review </w:t>
      </w:r>
    </w:p>
    <w:p w14:paraId="27A1DBDA" w14:textId="4B20D6AF" w:rsidR="000809DA" w:rsidRPr="001B1F5F" w:rsidRDefault="000809DA" w:rsidP="00E407CE">
      <w:pPr>
        <w:pStyle w:val="NoSpacing"/>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Agency Theory</w:t>
      </w:r>
    </w:p>
    <w:p w14:paraId="71FEBA1B" w14:textId="66D9B3FD" w:rsidR="00E407CE" w:rsidRPr="001B1F5F" w:rsidRDefault="00615EB0" w:rsidP="00A0110A">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lang w:val="en-ID"/>
        </w:rPr>
        <w:t>Jensen</w:t>
      </w:r>
      <w:r w:rsidR="00A601DC">
        <w:rPr>
          <w:rFonts w:asciiTheme="minorHAnsi" w:hAnsiTheme="minorHAnsi" w:cstheme="minorHAnsi"/>
          <w:sz w:val="24"/>
          <w:szCs w:val="24"/>
          <w:lang w:val="en-ID"/>
        </w:rPr>
        <w:t xml:space="preserve"> &amp; </w:t>
      </w:r>
      <w:proofErr w:type="spellStart"/>
      <w:r w:rsidRPr="001B1F5F">
        <w:rPr>
          <w:rFonts w:asciiTheme="minorHAnsi" w:hAnsiTheme="minorHAnsi" w:cstheme="minorHAnsi"/>
          <w:sz w:val="24"/>
          <w:szCs w:val="24"/>
          <w:lang w:val="en-ID"/>
        </w:rPr>
        <w:t>Meckling</w:t>
      </w:r>
      <w:proofErr w:type="spellEnd"/>
      <w:r w:rsidRPr="001B1F5F">
        <w:rPr>
          <w:rFonts w:asciiTheme="minorHAnsi" w:hAnsiTheme="minorHAnsi" w:cstheme="minorHAnsi"/>
          <w:sz w:val="24"/>
          <w:szCs w:val="24"/>
          <w:lang w:val="en-ID"/>
        </w:rPr>
        <w:t xml:space="preserve"> (1976)</w:t>
      </w:r>
      <w:r w:rsidR="001971CF">
        <w:rPr>
          <w:rFonts w:asciiTheme="minorHAnsi" w:hAnsiTheme="minorHAnsi" w:cstheme="minorHAnsi"/>
          <w:sz w:val="24"/>
          <w:szCs w:val="24"/>
          <w:lang w:val="en-ID"/>
        </w:rPr>
        <w:t xml:space="preserve"> stated that </w:t>
      </w:r>
      <w:r w:rsidRPr="001B1F5F">
        <w:rPr>
          <w:rFonts w:asciiTheme="minorHAnsi" w:hAnsiTheme="minorHAnsi" w:cstheme="minorHAnsi"/>
          <w:sz w:val="24"/>
          <w:szCs w:val="24"/>
          <w:lang w:val="en-ID"/>
        </w:rPr>
        <w:t xml:space="preserve">an agency relationship arises when one or more principals—typically owners—agree to designate or employ an agent—typically </w:t>
      </w:r>
      <w:r w:rsidR="0009066A">
        <w:rPr>
          <w:rFonts w:asciiTheme="minorHAnsi" w:hAnsiTheme="minorHAnsi" w:cstheme="minorHAnsi"/>
          <w:sz w:val="24"/>
          <w:szCs w:val="24"/>
          <w:lang w:val="en-ID"/>
        </w:rPr>
        <w:t>manager</w:t>
      </w:r>
      <w:r w:rsidRPr="001B1F5F">
        <w:rPr>
          <w:rFonts w:asciiTheme="minorHAnsi" w:hAnsiTheme="minorHAnsi" w:cstheme="minorHAnsi"/>
          <w:sz w:val="24"/>
          <w:szCs w:val="24"/>
          <w:lang w:val="en-ID"/>
        </w:rPr>
        <w:t xml:space="preserve">—to manage the operation of the company. </w:t>
      </w:r>
      <w:r w:rsidR="000809DA" w:rsidRPr="001B1F5F">
        <w:rPr>
          <w:rFonts w:asciiTheme="minorHAnsi" w:hAnsiTheme="minorHAnsi" w:cstheme="minorHAnsi"/>
          <w:sz w:val="24"/>
          <w:szCs w:val="24"/>
          <w:lang w:val="en-ID"/>
        </w:rPr>
        <w:t xml:space="preserve">In this context, the principal refers to the entity or individual investing funds and resources required to operate the company, while the agent is the management party authorized to operate the company </w:t>
      </w:r>
      <w:r w:rsidRPr="001B1F5F">
        <w:rPr>
          <w:rFonts w:asciiTheme="minorHAnsi" w:hAnsiTheme="minorHAnsi" w:cstheme="minorHAnsi"/>
          <w:sz w:val="24"/>
          <w:szCs w:val="24"/>
          <w:lang w:val="en-ID"/>
        </w:rPr>
        <w:t>under</w:t>
      </w:r>
      <w:r w:rsidR="000809DA" w:rsidRPr="001B1F5F">
        <w:rPr>
          <w:rFonts w:asciiTheme="minorHAnsi" w:hAnsiTheme="minorHAnsi" w:cstheme="minorHAnsi"/>
          <w:sz w:val="24"/>
          <w:szCs w:val="24"/>
          <w:lang w:val="en-ID"/>
        </w:rPr>
        <w:t xml:space="preserve"> the principal's directives</w:t>
      </w:r>
      <w:r w:rsidR="004E0953" w:rsidRPr="001B1F5F">
        <w:rPr>
          <w:rFonts w:asciiTheme="minorHAnsi" w:hAnsiTheme="minorHAnsi" w:cstheme="minorHAnsi"/>
          <w:sz w:val="24"/>
          <w:szCs w:val="24"/>
          <w:lang w:val="en-ID"/>
        </w:rPr>
        <w:t>.</w:t>
      </w:r>
    </w:p>
    <w:p w14:paraId="5FFA6CE7" w14:textId="5873500F" w:rsidR="000809DA" w:rsidRPr="001B1F5F" w:rsidRDefault="000809DA" w:rsidP="008A6461">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From an agency theory perspective, tax planning can provide opportunities for managers (agents) to act opportunistically. Managers tend to report higher profits in financial statements (known as commercial profits) to earn additional compensation such as bonuses or to comply with debt covenant agreements. Conversely,</w:t>
      </w:r>
      <w:r w:rsidR="001971CF">
        <w:rPr>
          <w:rFonts w:asciiTheme="minorHAnsi" w:hAnsiTheme="minorHAnsi" w:cstheme="minorHAnsi"/>
          <w:sz w:val="24"/>
          <w:szCs w:val="24"/>
          <w:lang w:val="en-ID"/>
        </w:rPr>
        <w:t xml:space="preserve"> according to </w:t>
      </w:r>
      <w:r w:rsidR="001971CF" w:rsidRPr="001B1F5F">
        <w:rPr>
          <w:rFonts w:asciiTheme="minorHAnsi" w:hAnsiTheme="minorHAnsi" w:cstheme="minorHAnsi"/>
          <w:sz w:val="24"/>
          <w:szCs w:val="24"/>
          <w:lang w:val="en-ID"/>
        </w:rPr>
        <w:t xml:space="preserve">Desai </w:t>
      </w:r>
      <w:r w:rsidR="001971CF" w:rsidRPr="00DA0AE6">
        <w:rPr>
          <w:rFonts w:asciiTheme="minorHAnsi" w:hAnsiTheme="minorHAnsi" w:cstheme="minorHAnsi"/>
          <w:i/>
          <w:iCs/>
          <w:sz w:val="24"/>
          <w:szCs w:val="24"/>
          <w:lang w:val="en-ID"/>
        </w:rPr>
        <w:t>et al</w:t>
      </w:r>
      <w:r w:rsidR="001971CF" w:rsidRPr="001B1F5F">
        <w:rPr>
          <w:rFonts w:asciiTheme="minorHAnsi" w:hAnsiTheme="minorHAnsi" w:cstheme="minorHAnsi"/>
          <w:sz w:val="24"/>
          <w:szCs w:val="24"/>
          <w:lang w:val="en-ID"/>
        </w:rPr>
        <w:t>.</w:t>
      </w:r>
      <w:r w:rsidR="001971CF">
        <w:rPr>
          <w:rFonts w:asciiTheme="minorHAnsi" w:hAnsiTheme="minorHAnsi" w:cstheme="minorHAnsi"/>
          <w:sz w:val="24"/>
          <w:szCs w:val="24"/>
          <w:lang w:val="en-ID"/>
        </w:rPr>
        <w:t xml:space="preserve"> (</w:t>
      </w:r>
      <w:r w:rsidR="001971CF" w:rsidRPr="001B1F5F">
        <w:rPr>
          <w:rFonts w:asciiTheme="minorHAnsi" w:hAnsiTheme="minorHAnsi" w:cstheme="minorHAnsi"/>
          <w:sz w:val="24"/>
          <w:szCs w:val="24"/>
          <w:lang w:val="en-ID"/>
        </w:rPr>
        <w:t>2007)</w:t>
      </w:r>
      <w:r w:rsidR="001971CF">
        <w:rPr>
          <w:rFonts w:asciiTheme="minorHAnsi" w:hAnsiTheme="minorHAnsi" w:cstheme="minorHAnsi"/>
          <w:sz w:val="24"/>
          <w:szCs w:val="24"/>
          <w:lang w:val="en-ID"/>
        </w:rPr>
        <w:t>,</w:t>
      </w:r>
      <w:r w:rsidRPr="001B1F5F">
        <w:rPr>
          <w:rFonts w:asciiTheme="minorHAnsi" w:hAnsiTheme="minorHAnsi" w:cstheme="minorHAnsi"/>
          <w:sz w:val="24"/>
          <w:szCs w:val="24"/>
          <w:lang w:val="en-ID"/>
        </w:rPr>
        <w:t xml:space="preserve"> in fiscal profit reporting, managers will take structured actions to minimize tax liabilities by exploiting gaps in existing regulations, thereby increasing after-tax profits, </w:t>
      </w:r>
      <w:r w:rsidR="004E0953" w:rsidRPr="001B1F5F">
        <w:rPr>
          <w:rFonts w:asciiTheme="minorHAnsi" w:hAnsiTheme="minorHAnsi" w:cstheme="minorHAnsi"/>
          <w:sz w:val="24"/>
          <w:szCs w:val="24"/>
          <w:lang w:val="en-ID"/>
        </w:rPr>
        <w:t xml:space="preserve">and </w:t>
      </w:r>
      <w:r w:rsidRPr="001B1F5F">
        <w:rPr>
          <w:rFonts w:asciiTheme="minorHAnsi" w:hAnsiTheme="minorHAnsi" w:cstheme="minorHAnsi"/>
          <w:sz w:val="24"/>
          <w:szCs w:val="24"/>
          <w:lang w:val="en-ID"/>
        </w:rPr>
        <w:t>ultimately enhancing the company's value</w:t>
      </w:r>
      <w:r w:rsidR="001971CF">
        <w:rPr>
          <w:rFonts w:asciiTheme="minorHAnsi" w:hAnsiTheme="minorHAnsi" w:cstheme="minorHAnsi"/>
          <w:sz w:val="24"/>
          <w:szCs w:val="24"/>
          <w:lang w:val="en-ID"/>
        </w:rPr>
        <w:t>.</w:t>
      </w:r>
    </w:p>
    <w:p w14:paraId="7E226EE0" w14:textId="77777777" w:rsidR="000809DA" w:rsidRPr="001B1F5F" w:rsidRDefault="000809DA" w:rsidP="000809DA">
      <w:pPr>
        <w:pStyle w:val="NoSpacing"/>
        <w:jc w:val="both"/>
        <w:rPr>
          <w:rFonts w:asciiTheme="minorHAnsi" w:hAnsiTheme="minorHAnsi" w:cstheme="minorHAnsi"/>
          <w:sz w:val="24"/>
          <w:szCs w:val="24"/>
        </w:rPr>
      </w:pPr>
    </w:p>
    <w:p w14:paraId="5436A354" w14:textId="68D54153" w:rsidR="00E407CE" w:rsidRPr="001B1F5F" w:rsidRDefault="000809DA" w:rsidP="000809DA">
      <w:pPr>
        <w:pStyle w:val="NoSpacing"/>
        <w:jc w:val="both"/>
        <w:rPr>
          <w:rFonts w:asciiTheme="minorHAnsi" w:hAnsiTheme="minorHAnsi" w:cstheme="minorHAnsi"/>
          <w:sz w:val="24"/>
          <w:szCs w:val="24"/>
        </w:rPr>
      </w:pPr>
      <w:r w:rsidRPr="001B1F5F">
        <w:rPr>
          <w:rFonts w:asciiTheme="minorHAnsi" w:hAnsiTheme="minorHAnsi" w:cstheme="minorHAnsi"/>
          <w:sz w:val="24"/>
          <w:szCs w:val="24"/>
        </w:rPr>
        <w:t>The Measurement of Tax Avoidance</w:t>
      </w:r>
    </w:p>
    <w:p w14:paraId="4F24C1BB" w14:textId="74A30662" w:rsidR="00E407CE" w:rsidRPr="001B1F5F" w:rsidRDefault="0032109D" w:rsidP="00A0110A">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lang w:val="en-ID"/>
        </w:rPr>
        <w:t xml:space="preserve">According to Hanlon &amp; </w:t>
      </w:r>
      <w:proofErr w:type="spellStart"/>
      <w:r w:rsidRPr="001B1F5F">
        <w:rPr>
          <w:rFonts w:asciiTheme="minorHAnsi" w:hAnsiTheme="minorHAnsi" w:cstheme="minorHAnsi"/>
          <w:sz w:val="24"/>
          <w:szCs w:val="24"/>
          <w:lang w:val="en-ID"/>
        </w:rPr>
        <w:t>Heitzman's</w:t>
      </w:r>
      <w:proofErr w:type="spellEnd"/>
      <w:r w:rsidRPr="001B1F5F">
        <w:rPr>
          <w:rFonts w:asciiTheme="minorHAnsi" w:hAnsiTheme="minorHAnsi" w:cstheme="minorHAnsi"/>
          <w:sz w:val="24"/>
          <w:szCs w:val="24"/>
          <w:lang w:val="en-ID"/>
        </w:rPr>
        <w:t xml:space="preserve"> (2010) definition, tax avoidance encompasses a variety of tax </w:t>
      </w:r>
      <w:r w:rsidR="001971CF">
        <w:rPr>
          <w:rFonts w:asciiTheme="minorHAnsi" w:hAnsiTheme="minorHAnsi" w:cstheme="minorHAnsi"/>
          <w:sz w:val="24"/>
          <w:szCs w:val="24"/>
          <w:lang w:val="en-ID"/>
        </w:rPr>
        <w:t>management</w:t>
      </w:r>
      <w:r w:rsidRPr="001B1F5F">
        <w:rPr>
          <w:rFonts w:asciiTheme="minorHAnsi" w:hAnsiTheme="minorHAnsi" w:cstheme="minorHAnsi"/>
          <w:sz w:val="24"/>
          <w:szCs w:val="24"/>
          <w:lang w:val="en-ID"/>
        </w:rPr>
        <w:t xml:space="preserve"> techniques, from legal actions that take advantage of regulatory gaps to illegal or tax </w:t>
      </w:r>
      <w:r w:rsidRPr="001B1F5F">
        <w:rPr>
          <w:rFonts w:asciiTheme="minorHAnsi" w:hAnsiTheme="minorHAnsi" w:cstheme="minorHAnsi"/>
          <w:sz w:val="24"/>
          <w:szCs w:val="24"/>
          <w:lang w:val="en-ID"/>
        </w:rPr>
        <w:lastRenderedPageBreak/>
        <w:t>non-compliance actions.</w:t>
      </w:r>
      <w:r w:rsidR="001971CF">
        <w:rPr>
          <w:rFonts w:asciiTheme="minorHAnsi" w:hAnsiTheme="minorHAnsi" w:cstheme="minorHAnsi"/>
          <w:sz w:val="24"/>
          <w:szCs w:val="24"/>
          <w:lang w:val="en-ID"/>
        </w:rPr>
        <w:t xml:space="preserve"> </w:t>
      </w:r>
      <w:r w:rsidR="000809DA" w:rsidRPr="001B1F5F">
        <w:rPr>
          <w:rFonts w:asciiTheme="minorHAnsi" w:hAnsiTheme="minorHAnsi" w:cstheme="minorHAnsi"/>
          <w:sz w:val="24"/>
          <w:szCs w:val="24"/>
          <w:lang w:val="en-ID"/>
        </w:rPr>
        <w:t>Tax avoidance involves companies r</w:t>
      </w:r>
      <w:r w:rsidR="001971CF">
        <w:rPr>
          <w:rFonts w:asciiTheme="minorHAnsi" w:hAnsiTheme="minorHAnsi" w:cstheme="minorHAnsi"/>
          <w:sz w:val="24"/>
          <w:szCs w:val="24"/>
          <w:lang w:val="en-ID"/>
        </w:rPr>
        <w:t>eserv</w:t>
      </w:r>
      <w:r w:rsidR="00841FF8">
        <w:rPr>
          <w:rFonts w:asciiTheme="minorHAnsi" w:hAnsiTheme="minorHAnsi" w:cstheme="minorHAnsi"/>
          <w:sz w:val="24"/>
          <w:szCs w:val="24"/>
          <w:lang w:val="en-ID"/>
        </w:rPr>
        <w:t>ing</w:t>
      </w:r>
      <w:r w:rsidR="000809DA" w:rsidRPr="001B1F5F">
        <w:rPr>
          <w:rFonts w:asciiTheme="minorHAnsi" w:hAnsiTheme="minorHAnsi" w:cstheme="minorHAnsi"/>
          <w:sz w:val="24"/>
          <w:szCs w:val="24"/>
          <w:lang w:val="en-ID"/>
        </w:rPr>
        <w:t xml:space="preserve"> resources that should be </w:t>
      </w:r>
      <w:r w:rsidRPr="001B1F5F">
        <w:rPr>
          <w:rFonts w:asciiTheme="minorHAnsi" w:hAnsiTheme="minorHAnsi" w:cstheme="minorHAnsi"/>
          <w:sz w:val="24"/>
          <w:szCs w:val="24"/>
          <w:lang w:val="en-ID"/>
        </w:rPr>
        <w:t>transferred</w:t>
      </w:r>
      <w:r w:rsidR="000809DA" w:rsidRPr="001B1F5F">
        <w:rPr>
          <w:rFonts w:asciiTheme="minorHAnsi" w:hAnsiTheme="minorHAnsi" w:cstheme="minorHAnsi"/>
          <w:sz w:val="24"/>
          <w:szCs w:val="24"/>
          <w:lang w:val="en-ID"/>
        </w:rPr>
        <w:t xml:space="preserve"> to the government, with the expectation that these resources will enhance the company's valuation and benefit shareholders.</w:t>
      </w:r>
    </w:p>
    <w:p w14:paraId="188F89F5" w14:textId="47A413F3" w:rsidR="000809DA" w:rsidRPr="001B1F5F" w:rsidRDefault="000809DA" w:rsidP="000809DA">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According to Wang </w:t>
      </w:r>
      <w:r w:rsidRPr="00DA0AE6">
        <w:rPr>
          <w:rFonts w:asciiTheme="minorHAnsi" w:hAnsiTheme="minorHAnsi" w:cstheme="minorHAnsi"/>
          <w:i/>
          <w:iCs/>
          <w:sz w:val="24"/>
          <w:szCs w:val="24"/>
          <w:lang w:val="en-ID"/>
        </w:rPr>
        <w:t>et al.</w:t>
      </w:r>
      <w:r w:rsidRPr="001B1F5F">
        <w:rPr>
          <w:rFonts w:asciiTheme="minorHAnsi" w:hAnsiTheme="minorHAnsi" w:cstheme="minorHAnsi"/>
          <w:sz w:val="24"/>
          <w:szCs w:val="24"/>
          <w:lang w:val="en-ID"/>
        </w:rPr>
        <w:t xml:space="preserve"> (2020), the common measurements for identifying tax avoidance are effective tax rates (ETR) and the </w:t>
      </w:r>
      <w:r w:rsidR="00841FF8">
        <w:rPr>
          <w:rFonts w:asciiTheme="minorHAnsi" w:hAnsiTheme="minorHAnsi" w:cstheme="minorHAnsi"/>
          <w:sz w:val="24"/>
          <w:szCs w:val="24"/>
          <w:lang w:val="en-ID"/>
        </w:rPr>
        <w:t>gap</w:t>
      </w:r>
      <w:r w:rsidRPr="001B1F5F">
        <w:rPr>
          <w:rFonts w:asciiTheme="minorHAnsi" w:hAnsiTheme="minorHAnsi" w:cstheme="minorHAnsi"/>
          <w:sz w:val="24"/>
          <w:szCs w:val="24"/>
          <w:lang w:val="en-ID"/>
        </w:rPr>
        <w:t xml:space="preserve"> between </w:t>
      </w:r>
      <w:r w:rsidR="00841FF8">
        <w:rPr>
          <w:rFonts w:asciiTheme="minorHAnsi" w:hAnsiTheme="minorHAnsi" w:cstheme="minorHAnsi"/>
          <w:sz w:val="24"/>
          <w:szCs w:val="24"/>
          <w:lang w:val="en-ID"/>
        </w:rPr>
        <w:t>earning</w:t>
      </w:r>
      <w:r w:rsidRPr="001B1F5F">
        <w:rPr>
          <w:rFonts w:asciiTheme="minorHAnsi" w:hAnsiTheme="minorHAnsi" w:cstheme="minorHAnsi"/>
          <w:sz w:val="24"/>
          <w:szCs w:val="24"/>
          <w:lang w:val="en-ID"/>
        </w:rPr>
        <w:t xml:space="preserve"> reported commercially and </w:t>
      </w:r>
      <w:r w:rsidR="00841FF8">
        <w:rPr>
          <w:rFonts w:asciiTheme="minorHAnsi" w:hAnsiTheme="minorHAnsi" w:cstheme="minorHAnsi"/>
          <w:sz w:val="24"/>
          <w:szCs w:val="24"/>
          <w:lang w:val="en-ID"/>
        </w:rPr>
        <w:t>earning</w:t>
      </w:r>
      <w:r w:rsidRPr="001B1F5F">
        <w:rPr>
          <w:rFonts w:asciiTheme="minorHAnsi" w:hAnsiTheme="minorHAnsi" w:cstheme="minorHAnsi"/>
          <w:sz w:val="24"/>
          <w:szCs w:val="24"/>
          <w:lang w:val="en-ID"/>
        </w:rPr>
        <w:t xml:space="preserve"> subject to taxation (Book-Tax Differences). ETR is used as an indicator of the actual tax burden incurred by a company. The variance between a company's ETR and the applicable tax rate arises from different income measurements between accounting reporting standards and tax reporting. This difference can be temporary or permanent due to distinct tax treatments.</w:t>
      </w:r>
    </w:p>
    <w:p w14:paraId="22398C74" w14:textId="1F44753E" w:rsidR="000809DA" w:rsidRPr="001B1F5F" w:rsidRDefault="00195BB2" w:rsidP="008A6461">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GAAP ETR and Cash ETR are the two ETR categories that are frequently utilized in tax burden analysis. Cash ETR uses the actual tax amount paid as the denominator, whereas GAAP ETR divides the income tax expense by the income before tax shown in financial statements. Temporary differences in tax computations are the source of variations between the tax </w:t>
      </w:r>
      <w:r w:rsidR="00841FF8">
        <w:rPr>
          <w:rFonts w:asciiTheme="minorHAnsi" w:hAnsiTheme="minorHAnsi" w:cstheme="minorHAnsi"/>
          <w:sz w:val="24"/>
          <w:szCs w:val="24"/>
          <w:lang w:val="en-ID"/>
        </w:rPr>
        <w:t>expense</w:t>
      </w:r>
      <w:r w:rsidRPr="001B1F5F">
        <w:rPr>
          <w:rFonts w:asciiTheme="minorHAnsi" w:hAnsiTheme="minorHAnsi" w:cstheme="minorHAnsi"/>
          <w:sz w:val="24"/>
          <w:szCs w:val="24"/>
          <w:lang w:val="en-ID"/>
        </w:rPr>
        <w:t xml:space="preserve"> and the amount of tax paid. </w:t>
      </w:r>
      <w:r w:rsidR="0039050C" w:rsidRPr="001B1F5F">
        <w:rPr>
          <w:rFonts w:asciiTheme="minorHAnsi" w:hAnsiTheme="minorHAnsi" w:cstheme="minorHAnsi"/>
          <w:sz w:val="24"/>
          <w:szCs w:val="24"/>
          <w:lang w:val="en-ID"/>
        </w:rPr>
        <w:t>Cash ETR, which represents tax payments in the current year, is frequently lower than GAAP ETR</w:t>
      </w:r>
      <w:r w:rsidR="000809DA" w:rsidRPr="001B1F5F">
        <w:rPr>
          <w:rFonts w:asciiTheme="minorHAnsi" w:hAnsiTheme="minorHAnsi" w:cstheme="minorHAnsi"/>
          <w:sz w:val="24"/>
          <w:szCs w:val="24"/>
          <w:lang w:val="en-ID"/>
        </w:rPr>
        <w:t>, which accounts for long-term total tax burdens if commercial income surpasses taxable income.</w:t>
      </w:r>
    </w:p>
    <w:p w14:paraId="572FC774" w14:textId="66F5DA89" w:rsidR="000809DA" w:rsidRPr="001B1F5F" w:rsidRDefault="000809DA" w:rsidP="000809DA">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Apart from ETR, Book-Tax Differences (BTD) denote the variance between income reported for commercial purposes and income subject to taxation as per tax regulations. </w:t>
      </w:r>
      <w:r w:rsidR="00841FF8">
        <w:rPr>
          <w:rFonts w:asciiTheme="minorHAnsi" w:hAnsiTheme="minorHAnsi" w:cstheme="minorHAnsi"/>
          <w:sz w:val="24"/>
          <w:szCs w:val="24"/>
          <w:lang w:val="en-ID"/>
        </w:rPr>
        <w:t xml:space="preserve">The </w:t>
      </w:r>
      <w:r w:rsidR="0084142F" w:rsidRPr="001B1F5F">
        <w:rPr>
          <w:rFonts w:asciiTheme="minorHAnsi" w:hAnsiTheme="minorHAnsi" w:cstheme="minorHAnsi"/>
          <w:sz w:val="24"/>
          <w:szCs w:val="24"/>
          <w:lang w:val="en-ID"/>
        </w:rPr>
        <w:t xml:space="preserve">application of BTD, as suggested by Desai </w:t>
      </w:r>
      <w:r w:rsidR="0084142F" w:rsidRPr="00DA0AE6">
        <w:rPr>
          <w:rFonts w:asciiTheme="minorHAnsi" w:hAnsiTheme="minorHAnsi" w:cstheme="minorHAnsi"/>
          <w:i/>
          <w:iCs/>
          <w:sz w:val="24"/>
          <w:szCs w:val="24"/>
          <w:lang w:val="en-ID"/>
        </w:rPr>
        <w:t>et al.</w:t>
      </w:r>
      <w:r w:rsidR="0084142F" w:rsidRPr="001B1F5F">
        <w:rPr>
          <w:rFonts w:asciiTheme="minorHAnsi" w:hAnsiTheme="minorHAnsi" w:cstheme="minorHAnsi"/>
          <w:sz w:val="24"/>
          <w:szCs w:val="24"/>
          <w:lang w:val="en-ID"/>
        </w:rPr>
        <w:t xml:space="preserve"> (2007), not only reveals tax avoidance but also identifies earnings management techniques. </w:t>
      </w:r>
      <w:r w:rsidRPr="001B1F5F">
        <w:rPr>
          <w:rFonts w:asciiTheme="minorHAnsi" w:hAnsiTheme="minorHAnsi" w:cstheme="minorHAnsi"/>
          <w:sz w:val="24"/>
          <w:szCs w:val="24"/>
          <w:lang w:val="en-ID"/>
        </w:rPr>
        <w:t xml:space="preserve">Nevertheless, according to Hanlon &amp; </w:t>
      </w:r>
      <w:proofErr w:type="spellStart"/>
      <w:r w:rsidRPr="001B1F5F">
        <w:rPr>
          <w:rFonts w:asciiTheme="minorHAnsi" w:hAnsiTheme="minorHAnsi" w:cstheme="minorHAnsi"/>
          <w:sz w:val="24"/>
          <w:szCs w:val="24"/>
          <w:lang w:val="en-ID"/>
        </w:rPr>
        <w:t>Heitzman</w:t>
      </w:r>
      <w:proofErr w:type="spellEnd"/>
      <w:r w:rsidRPr="001B1F5F">
        <w:rPr>
          <w:rFonts w:asciiTheme="minorHAnsi" w:hAnsiTheme="minorHAnsi" w:cstheme="minorHAnsi"/>
          <w:sz w:val="24"/>
          <w:szCs w:val="24"/>
          <w:lang w:val="en-ID"/>
        </w:rPr>
        <w:t xml:space="preserve"> (2010), these various measurement methods are effective only in measuring non-conforming tax avoidance, where transaction reporting differs between commercial and tax purposes. To gauge conforming tax avoidance, where commercial income simultaneously decreases, they recommend using the tax payment-to-operating cash flow ratio as a more appropriate indicator.</w:t>
      </w:r>
    </w:p>
    <w:p w14:paraId="2F26FDB2" w14:textId="5B250694" w:rsidR="000809DA" w:rsidRPr="001B1F5F" w:rsidRDefault="000809DA" w:rsidP="000809DA">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This study utilizes conforming tax avoidance measures to address the gap in research, where there</w:t>
      </w:r>
      <w:r w:rsidR="00841FF8">
        <w:rPr>
          <w:rFonts w:asciiTheme="minorHAnsi" w:hAnsiTheme="minorHAnsi" w:cstheme="minorHAnsi"/>
          <w:sz w:val="24"/>
          <w:szCs w:val="24"/>
          <w:lang w:val="en-ID"/>
        </w:rPr>
        <w:t xml:space="preserve"> is</w:t>
      </w:r>
      <w:r w:rsidRPr="001B1F5F">
        <w:rPr>
          <w:rFonts w:asciiTheme="minorHAnsi" w:hAnsiTheme="minorHAnsi" w:cstheme="minorHAnsi"/>
          <w:sz w:val="24"/>
          <w:szCs w:val="24"/>
          <w:lang w:val="en-ID"/>
        </w:rPr>
        <w:t xml:space="preserve"> little examination of tax avoidance in Indonesia </w:t>
      </w:r>
      <w:r w:rsidR="00841FF8">
        <w:rPr>
          <w:rFonts w:asciiTheme="minorHAnsi" w:hAnsiTheme="minorHAnsi" w:cstheme="minorHAnsi"/>
          <w:sz w:val="24"/>
          <w:szCs w:val="24"/>
          <w:lang w:val="en-ID"/>
        </w:rPr>
        <w:t>employing</w:t>
      </w:r>
      <w:r w:rsidRPr="001B1F5F">
        <w:rPr>
          <w:rFonts w:asciiTheme="minorHAnsi" w:hAnsiTheme="minorHAnsi" w:cstheme="minorHAnsi"/>
          <w:sz w:val="24"/>
          <w:szCs w:val="24"/>
          <w:lang w:val="en-ID"/>
        </w:rPr>
        <w:t xml:space="preserve"> this method as a representation of tax avoidance (</w:t>
      </w:r>
      <w:proofErr w:type="spellStart"/>
      <w:r w:rsidRPr="001B1F5F">
        <w:rPr>
          <w:rFonts w:asciiTheme="minorHAnsi" w:hAnsiTheme="minorHAnsi" w:cstheme="minorHAnsi"/>
          <w:sz w:val="24"/>
          <w:szCs w:val="24"/>
          <w:lang w:val="en-ID"/>
        </w:rPr>
        <w:t>Satyadini</w:t>
      </w:r>
      <w:proofErr w:type="spellEnd"/>
      <w:r w:rsidRPr="001B1F5F">
        <w:rPr>
          <w:rFonts w:asciiTheme="minorHAnsi" w:hAnsiTheme="minorHAnsi" w:cstheme="minorHAnsi"/>
          <w:sz w:val="24"/>
          <w:szCs w:val="24"/>
          <w:lang w:val="en-ID"/>
        </w:rPr>
        <w:t>, 2018).</w:t>
      </w:r>
    </w:p>
    <w:p w14:paraId="0B9BB0D9" w14:textId="77777777" w:rsidR="000809DA" w:rsidRPr="001B1F5F" w:rsidRDefault="000809DA" w:rsidP="000809DA">
      <w:pPr>
        <w:pStyle w:val="NoSpacing"/>
        <w:jc w:val="both"/>
        <w:rPr>
          <w:rFonts w:asciiTheme="minorHAnsi" w:hAnsiTheme="minorHAnsi" w:cstheme="minorHAnsi"/>
          <w:sz w:val="24"/>
          <w:szCs w:val="24"/>
          <w:lang w:val="en-ID"/>
        </w:rPr>
      </w:pPr>
    </w:p>
    <w:p w14:paraId="12252C4B" w14:textId="156BD528" w:rsidR="000809DA" w:rsidRPr="001B1F5F" w:rsidRDefault="000809DA" w:rsidP="000809DA">
      <w:pPr>
        <w:pStyle w:val="NoSpacing"/>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Determinants of Tax Avoidan</w:t>
      </w:r>
      <w:r w:rsidR="00833C0F" w:rsidRPr="001B1F5F">
        <w:rPr>
          <w:rFonts w:asciiTheme="minorHAnsi" w:hAnsiTheme="minorHAnsi" w:cstheme="minorHAnsi"/>
          <w:sz w:val="24"/>
          <w:szCs w:val="24"/>
          <w:lang w:val="en-ID"/>
        </w:rPr>
        <w:t>ce</w:t>
      </w:r>
    </w:p>
    <w:p w14:paraId="142E575D" w14:textId="7C6F9508" w:rsidR="00833C0F" w:rsidRPr="001B1F5F" w:rsidRDefault="00833C0F" w:rsidP="000809DA">
      <w:pPr>
        <w:pStyle w:val="NoSpacing"/>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Tax Enforcement</w:t>
      </w:r>
    </w:p>
    <w:p w14:paraId="4B06A0BB" w14:textId="60F7B4CB" w:rsidR="00833C0F" w:rsidRPr="001B1F5F" w:rsidRDefault="00833C0F" w:rsidP="00A0110A">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Neo-institutional economic theory emphasizes that individual or company economic </w:t>
      </w:r>
      <w:proofErr w:type="spellStart"/>
      <w:r w:rsidRPr="001B1F5F">
        <w:rPr>
          <w:rFonts w:asciiTheme="minorHAnsi" w:hAnsiTheme="minorHAnsi" w:cstheme="minorHAnsi"/>
          <w:sz w:val="24"/>
          <w:szCs w:val="24"/>
          <w:lang w:val="en-ID"/>
        </w:rPr>
        <w:t>behavior</w:t>
      </w:r>
      <w:proofErr w:type="spellEnd"/>
      <w:r w:rsidRPr="001B1F5F">
        <w:rPr>
          <w:rFonts w:asciiTheme="minorHAnsi" w:hAnsiTheme="minorHAnsi" w:cstheme="minorHAnsi"/>
          <w:sz w:val="24"/>
          <w:szCs w:val="24"/>
          <w:lang w:val="en-ID"/>
        </w:rPr>
        <w:t xml:space="preserve"> is influenced by the institutional framework involving legal aspects, rules, and social values. In the context of corporate taxation, rules and legal oversight play a crucial role. This includes tax authority surveillance and inspection, which can impose sanctions on tax avoidance actions. Therefore, tax enforcement by tax authorities influences a company's decisions regarding tax avoidance. Research by Desai </w:t>
      </w:r>
      <w:r w:rsidRPr="00DA0AE6">
        <w:rPr>
          <w:rFonts w:asciiTheme="minorHAnsi" w:hAnsiTheme="minorHAnsi" w:cstheme="minorHAnsi"/>
          <w:i/>
          <w:iCs/>
          <w:sz w:val="24"/>
          <w:szCs w:val="24"/>
          <w:lang w:val="en-ID"/>
        </w:rPr>
        <w:t>et al</w:t>
      </w:r>
      <w:r w:rsidRPr="001B1F5F">
        <w:rPr>
          <w:rFonts w:asciiTheme="minorHAnsi" w:hAnsiTheme="minorHAnsi" w:cstheme="minorHAnsi"/>
          <w:sz w:val="24"/>
          <w:szCs w:val="24"/>
          <w:lang w:val="en-ID"/>
        </w:rPr>
        <w:t>. (2007) illustrates how enhanced law enforcement in Russia after Putin's election as president encouraged companies to be more compliant in tax payment</w:t>
      </w:r>
      <w:r w:rsidR="00DE65CC" w:rsidRPr="001B1F5F">
        <w:rPr>
          <w:rFonts w:asciiTheme="minorHAnsi" w:hAnsiTheme="minorHAnsi" w:cstheme="minorHAnsi"/>
          <w:sz w:val="24"/>
          <w:szCs w:val="24"/>
          <w:lang w:val="en-ID"/>
        </w:rPr>
        <w:t>s</w:t>
      </w:r>
      <w:r w:rsidRPr="001B1F5F">
        <w:rPr>
          <w:rFonts w:asciiTheme="minorHAnsi" w:hAnsiTheme="minorHAnsi" w:cstheme="minorHAnsi"/>
          <w:sz w:val="24"/>
          <w:szCs w:val="24"/>
          <w:lang w:val="en-ID"/>
        </w:rPr>
        <w:t xml:space="preserve">, reducing related-party transactions, and curbing corporate practices in low-tax jurisdictions. Studies by </w:t>
      </w:r>
      <w:r w:rsidR="00DA0AE6">
        <w:rPr>
          <w:rFonts w:asciiTheme="minorHAnsi" w:hAnsiTheme="minorHAnsi" w:cstheme="minorHAnsi"/>
          <w:sz w:val="24"/>
          <w:szCs w:val="24"/>
          <w:lang w:val="en-ID"/>
        </w:rPr>
        <w:fldChar w:fldCharType="begin"/>
      </w:r>
      <w:r w:rsidR="00DA0AE6">
        <w:rPr>
          <w:rFonts w:asciiTheme="minorHAnsi" w:hAnsiTheme="minorHAnsi" w:cstheme="minorHAnsi"/>
          <w:sz w:val="24"/>
          <w:szCs w:val="24"/>
          <w:lang w:val="en-ID"/>
        </w:rPr>
        <w:instrText xml:space="preserve"> ADDIN ZOTERO_ITEM CSL_CITATION {"citationID":"PYVIgFqm","properties":{"formattedCitation":"(Hoopes et al., 2012)","plainCitation":"(Hoopes et al., 2012)","noteIndex":0},"citationItems":[{"id":676,"uris":["http://zotero.org/users/local/1kuimZT3/items/36LVNXG4"],"itemData":{"id":676,"type":"article-journal","abstract":"We extend research on the determinants of corporate tax avoidance to include the role of Internal Revenue Service (IRS) monitoring. Our evidence from large samples implies that U.S. public firms undertake less aggressive tax positions when tax enforcement is stricter. Reflecting its first-order economic impact on firms, our coefficient estimates imply that raising the probability of an IRS audit from 19 percent (the 25th percentile in our data) to 37 percent (the 75th percentile) increases their cash effective tax rates, on average, by nearly two percentage points, which amounts to a 7 percent increase in cash effective tax rates. These results are robust to controlling for firm size and time, which determine our primary proxy for IRS enforcement, in different ways; specifying several alternative dependent and test variables; and confronting potential endogeneity with instrumental variables and panel data estimations, among other techniques.","container-title":"The Accounting Review","ISSN":"0001-4826","issue":"5","note":"publisher: American Accounting Association","page":"1603-1639","source":"JSTOR","title":"Do IRS Audits Deter Corporate Tax Avoidance?","volume":"87","author":[{"family":"Hoopes","given":"Jeffrey L."},{"family":"Mescall","given":"Devan"},{"family":"Pittman","given":"Jeffrey A."}],"issued":{"date-parts":[["2012"]]}}}],"schema":"https://github.com/citation-style-language/schema/raw/master/csl-citation.json"} </w:instrText>
      </w:r>
      <w:r w:rsidR="00DA0AE6">
        <w:rPr>
          <w:rFonts w:asciiTheme="minorHAnsi" w:hAnsiTheme="minorHAnsi" w:cstheme="minorHAnsi"/>
          <w:sz w:val="24"/>
          <w:szCs w:val="24"/>
          <w:lang w:val="en-ID"/>
        </w:rPr>
        <w:fldChar w:fldCharType="separate"/>
      </w:r>
      <w:r w:rsidR="00DA0AE6" w:rsidRPr="00DA0AE6">
        <w:rPr>
          <w:rFonts w:cs="Calibri"/>
          <w:sz w:val="24"/>
        </w:rPr>
        <w:t xml:space="preserve">Hoopes </w:t>
      </w:r>
      <w:r w:rsidR="00DA0AE6" w:rsidRPr="00DA0AE6">
        <w:rPr>
          <w:rFonts w:cs="Calibri"/>
          <w:i/>
          <w:iCs/>
          <w:sz w:val="24"/>
        </w:rPr>
        <w:t>et al</w:t>
      </w:r>
      <w:r w:rsidR="00DA0AE6" w:rsidRPr="00DA0AE6">
        <w:rPr>
          <w:rFonts w:cs="Calibri"/>
          <w:sz w:val="24"/>
        </w:rPr>
        <w:t>.</w:t>
      </w:r>
      <w:r w:rsidR="00DA0AE6">
        <w:rPr>
          <w:rFonts w:cs="Calibri"/>
          <w:sz w:val="24"/>
        </w:rPr>
        <w:t xml:space="preserve"> (</w:t>
      </w:r>
      <w:r w:rsidR="00DA0AE6" w:rsidRPr="00DA0AE6">
        <w:rPr>
          <w:rFonts w:cs="Calibri"/>
          <w:sz w:val="24"/>
        </w:rPr>
        <w:t>2012)</w:t>
      </w:r>
      <w:r w:rsidR="00DA0AE6">
        <w:rPr>
          <w:rFonts w:asciiTheme="minorHAnsi" w:hAnsiTheme="minorHAnsi" w:cstheme="minorHAnsi"/>
          <w:sz w:val="24"/>
          <w:szCs w:val="24"/>
          <w:lang w:val="en-ID"/>
        </w:rPr>
        <w:fldChar w:fldCharType="end"/>
      </w:r>
      <w:r w:rsidRPr="001B1F5F">
        <w:rPr>
          <w:rFonts w:asciiTheme="minorHAnsi" w:hAnsiTheme="minorHAnsi" w:cstheme="minorHAnsi"/>
          <w:sz w:val="24"/>
          <w:szCs w:val="24"/>
          <w:lang w:val="en-ID"/>
        </w:rPr>
        <w:t xml:space="preserve"> indicate that public companies in the United States reduce their </w:t>
      </w:r>
      <w:r w:rsidR="000D15EB" w:rsidRPr="001B1F5F">
        <w:rPr>
          <w:rFonts w:asciiTheme="minorHAnsi" w:hAnsiTheme="minorHAnsi" w:cstheme="minorHAnsi"/>
          <w:sz w:val="24"/>
          <w:szCs w:val="24"/>
          <w:lang w:val="en-ID"/>
        </w:rPr>
        <w:t xml:space="preserve">aggressiveness in </w:t>
      </w:r>
      <w:r w:rsidRPr="001B1F5F">
        <w:rPr>
          <w:rFonts w:asciiTheme="minorHAnsi" w:hAnsiTheme="minorHAnsi" w:cstheme="minorHAnsi"/>
          <w:sz w:val="24"/>
          <w:szCs w:val="24"/>
          <w:lang w:val="en-ID"/>
        </w:rPr>
        <w:t>tax planning</w:t>
      </w:r>
      <w:r w:rsidR="000D15EB" w:rsidRPr="001B1F5F">
        <w:rPr>
          <w:rFonts w:asciiTheme="minorHAnsi" w:hAnsiTheme="minorHAnsi" w:cstheme="minorHAnsi"/>
          <w:sz w:val="24"/>
          <w:szCs w:val="24"/>
          <w:lang w:val="en-ID"/>
        </w:rPr>
        <w:t xml:space="preserve"> </w:t>
      </w:r>
      <w:r w:rsidRPr="001B1F5F">
        <w:rPr>
          <w:rFonts w:asciiTheme="minorHAnsi" w:hAnsiTheme="minorHAnsi" w:cstheme="minorHAnsi"/>
          <w:sz w:val="24"/>
          <w:szCs w:val="24"/>
          <w:lang w:val="en-ID"/>
        </w:rPr>
        <w:t xml:space="preserve">as IRS supervision becomes stricter. </w:t>
      </w:r>
      <w:r w:rsidR="00DA0AE6">
        <w:rPr>
          <w:rFonts w:asciiTheme="minorHAnsi" w:hAnsiTheme="minorHAnsi" w:cstheme="minorHAnsi"/>
          <w:sz w:val="24"/>
          <w:szCs w:val="24"/>
          <w:lang w:val="en-ID"/>
        </w:rPr>
        <w:fldChar w:fldCharType="begin"/>
      </w:r>
      <w:r w:rsidR="00DA0AE6">
        <w:rPr>
          <w:rFonts w:asciiTheme="minorHAnsi" w:hAnsiTheme="minorHAnsi" w:cstheme="minorHAnsi"/>
          <w:sz w:val="24"/>
          <w:szCs w:val="24"/>
          <w:lang w:val="en-ID"/>
        </w:rPr>
        <w:instrText xml:space="preserve"> ADDIN ZOTERO_ITEM CSL_CITATION {"citationID":"LZ4JU2NT","properties":{"formattedCitation":"(Atwood et al., 2012)","plainCitation":"(Atwood et al., 2012)","noteIndex":0},"citationItems":[{"id":675,"uris":["http://zotero.org/users/local/1kuimZT3/items/DFAN7L2Q"],"itemData":{"id":675,"type":"article-journal","abstract":"We examine whether three tax system characteristics—required book-tax conformity, worldwide versus territorial approach, and perceived strength of enforcement—impact corporate tax avoidance across countries after controlling for firm-specific factors previously shown to be associated with tax avoidance (i.e., performance, size, operating costs, leverage, growth, the presence of multinational operations, and industry) and for other cross-country factors (i.e., statutory corporate tax rates, earnings volatility, and institutional factors). We find that, on average, firms avoid taxes less when required book-tax conformity is higher, a worldwide approach is used, and tax enforcement is perceived to be stronger. However, the relations between tax avoidance and all three tax systems characteristics are contextual and depend on the extent to which management compensation comes from variable pay, including bonuses, stock awards, and stock options.","container-title":"The Accounting Review","ISSN":"0001-4826","issue":"6","note":"publisher: American Accounting Association","page":"1831-1860","source":"JSTOR","title":"Home Country Tax System Characteristics and Corporate Tax Avoidance: International Evidence","title-short":"Home Country Tax System Characteristics and Corporate Tax Avoidance","volume":"87","author":[{"family":"Atwood","given":"T. J."},{"family":"Drake","given":"Michael S."},{"family":"Myers","given":"James N."},{"family":"Myers","given":"Linda A."}],"issued":{"date-parts":[["2012"]]}}}],"schema":"https://github.com/citation-style-language/schema/raw/master/csl-citation.json"} </w:instrText>
      </w:r>
      <w:r w:rsidR="00DA0AE6">
        <w:rPr>
          <w:rFonts w:asciiTheme="minorHAnsi" w:hAnsiTheme="minorHAnsi" w:cstheme="minorHAnsi"/>
          <w:sz w:val="24"/>
          <w:szCs w:val="24"/>
          <w:lang w:val="en-ID"/>
        </w:rPr>
        <w:fldChar w:fldCharType="separate"/>
      </w:r>
      <w:r w:rsidR="00DA0AE6" w:rsidRPr="00DA0AE6">
        <w:rPr>
          <w:rFonts w:cs="Calibri"/>
          <w:sz w:val="24"/>
        </w:rPr>
        <w:t xml:space="preserve">Atwood </w:t>
      </w:r>
      <w:r w:rsidR="00DA0AE6" w:rsidRPr="00DA0AE6">
        <w:rPr>
          <w:rFonts w:cs="Calibri"/>
          <w:i/>
          <w:iCs/>
          <w:sz w:val="24"/>
        </w:rPr>
        <w:t>et al</w:t>
      </w:r>
      <w:r w:rsidR="00DA0AE6" w:rsidRPr="00DA0AE6">
        <w:rPr>
          <w:rFonts w:cs="Calibri"/>
          <w:sz w:val="24"/>
        </w:rPr>
        <w:t>.</w:t>
      </w:r>
      <w:r w:rsidR="00DA0AE6">
        <w:rPr>
          <w:rFonts w:cs="Calibri"/>
          <w:sz w:val="24"/>
        </w:rPr>
        <w:t xml:space="preserve"> (</w:t>
      </w:r>
      <w:r w:rsidR="00DA0AE6" w:rsidRPr="00DA0AE6">
        <w:rPr>
          <w:rFonts w:cs="Calibri"/>
          <w:sz w:val="24"/>
        </w:rPr>
        <w:t>2012)</w:t>
      </w:r>
      <w:r w:rsidR="00DA0AE6">
        <w:rPr>
          <w:rFonts w:asciiTheme="minorHAnsi" w:hAnsiTheme="minorHAnsi" w:cstheme="minorHAnsi"/>
          <w:sz w:val="24"/>
          <w:szCs w:val="24"/>
          <w:lang w:val="en-ID"/>
        </w:rPr>
        <w:fldChar w:fldCharType="end"/>
      </w:r>
      <w:r w:rsidRPr="001B1F5F">
        <w:rPr>
          <w:rFonts w:asciiTheme="minorHAnsi" w:hAnsiTheme="minorHAnsi" w:cstheme="minorHAnsi"/>
          <w:sz w:val="24"/>
          <w:szCs w:val="24"/>
          <w:lang w:val="en-ID"/>
        </w:rPr>
        <w:t xml:space="preserve"> </w:t>
      </w:r>
      <w:r w:rsidR="000D15EB" w:rsidRPr="001B1F5F">
        <w:rPr>
          <w:rFonts w:asciiTheme="minorHAnsi" w:hAnsiTheme="minorHAnsi" w:cstheme="minorHAnsi"/>
          <w:sz w:val="24"/>
          <w:szCs w:val="24"/>
          <w:lang w:val="en-ID"/>
        </w:rPr>
        <w:t>discovered</w:t>
      </w:r>
      <w:r w:rsidRPr="001B1F5F">
        <w:rPr>
          <w:rFonts w:asciiTheme="minorHAnsi" w:hAnsiTheme="minorHAnsi" w:cstheme="minorHAnsi"/>
          <w:sz w:val="24"/>
          <w:szCs w:val="24"/>
          <w:lang w:val="en-ID"/>
        </w:rPr>
        <w:t xml:space="preserve"> a negative </w:t>
      </w:r>
      <w:r w:rsidR="000D15EB" w:rsidRPr="001B1F5F">
        <w:rPr>
          <w:rFonts w:asciiTheme="minorHAnsi" w:hAnsiTheme="minorHAnsi" w:cstheme="minorHAnsi"/>
          <w:sz w:val="24"/>
          <w:szCs w:val="24"/>
          <w:lang w:val="en-ID"/>
        </w:rPr>
        <w:t>correlation</w:t>
      </w:r>
      <w:r w:rsidRPr="001B1F5F">
        <w:rPr>
          <w:rFonts w:asciiTheme="minorHAnsi" w:hAnsiTheme="minorHAnsi" w:cstheme="minorHAnsi"/>
          <w:sz w:val="24"/>
          <w:szCs w:val="24"/>
          <w:lang w:val="en-ID"/>
        </w:rPr>
        <w:t xml:space="preserve"> between corporate tax avoidance practices</w:t>
      </w:r>
      <w:r w:rsidR="000D15EB" w:rsidRPr="001B1F5F">
        <w:rPr>
          <w:rFonts w:asciiTheme="minorHAnsi" w:hAnsiTheme="minorHAnsi" w:cstheme="minorHAnsi"/>
          <w:sz w:val="24"/>
          <w:szCs w:val="24"/>
          <w:lang w:val="en-ID"/>
        </w:rPr>
        <w:t xml:space="preserve"> and the extent of law enforcement</w:t>
      </w:r>
      <w:r w:rsidRPr="001B1F5F">
        <w:rPr>
          <w:rFonts w:asciiTheme="minorHAnsi" w:hAnsiTheme="minorHAnsi" w:cstheme="minorHAnsi"/>
          <w:sz w:val="24"/>
          <w:szCs w:val="24"/>
          <w:lang w:val="en-ID"/>
        </w:rPr>
        <w:t xml:space="preserve">. Meanwhile, </w:t>
      </w:r>
      <w:proofErr w:type="spellStart"/>
      <w:r w:rsidRPr="001B1F5F">
        <w:rPr>
          <w:rFonts w:asciiTheme="minorHAnsi" w:hAnsiTheme="minorHAnsi" w:cstheme="minorHAnsi"/>
          <w:sz w:val="24"/>
          <w:szCs w:val="24"/>
          <w:lang w:val="en-ID"/>
        </w:rPr>
        <w:t>Satyadini</w:t>
      </w:r>
      <w:proofErr w:type="spellEnd"/>
      <w:r w:rsidRPr="001B1F5F">
        <w:rPr>
          <w:rFonts w:asciiTheme="minorHAnsi" w:hAnsiTheme="minorHAnsi" w:cstheme="minorHAnsi"/>
          <w:sz w:val="24"/>
          <w:szCs w:val="24"/>
          <w:lang w:val="en-ID"/>
        </w:rPr>
        <w:t xml:space="preserve"> (2018) discovered that a persuasive approach in guidance by the Directorate General of Taxation (D</w:t>
      </w:r>
      <w:r w:rsidR="00A0110A">
        <w:rPr>
          <w:rFonts w:asciiTheme="minorHAnsi" w:hAnsiTheme="minorHAnsi" w:cstheme="minorHAnsi"/>
          <w:sz w:val="24"/>
          <w:szCs w:val="24"/>
          <w:lang w:val="en-ID"/>
        </w:rPr>
        <w:t>GT</w:t>
      </w:r>
      <w:r w:rsidRPr="001B1F5F">
        <w:rPr>
          <w:rFonts w:asciiTheme="minorHAnsi" w:hAnsiTheme="minorHAnsi" w:cstheme="minorHAnsi"/>
          <w:sz w:val="24"/>
          <w:szCs w:val="24"/>
          <w:lang w:val="en-ID"/>
        </w:rPr>
        <w:t>) in Indonesia has a more positive impact in preventing tax avoidance compared to law enforcement through tax audits.</w:t>
      </w:r>
    </w:p>
    <w:p w14:paraId="5FD08518" w14:textId="77777777" w:rsidR="00833C0F" w:rsidRPr="001B1F5F" w:rsidRDefault="00833C0F" w:rsidP="00833C0F">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Based on empirical findings from previous research and relevant theoretical considerations, research hypotheses are formed in alternative form: </w:t>
      </w:r>
    </w:p>
    <w:p w14:paraId="7CA79613" w14:textId="720EA911" w:rsidR="00605EDC" w:rsidRPr="001B1F5F" w:rsidRDefault="00833C0F" w:rsidP="00833C0F">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Hypothesis 1: </w:t>
      </w:r>
      <w:r w:rsidR="00666A18">
        <w:rPr>
          <w:rFonts w:asciiTheme="minorHAnsi" w:hAnsiTheme="minorHAnsi" w:cstheme="minorHAnsi"/>
          <w:sz w:val="24"/>
          <w:szCs w:val="24"/>
          <w:lang w:val="en-ID"/>
        </w:rPr>
        <w:t>Conforming t</w:t>
      </w:r>
      <w:r w:rsidR="001D1F14" w:rsidRPr="001B1F5F">
        <w:rPr>
          <w:rFonts w:asciiTheme="minorHAnsi" w:hAnsiTheme="minorHAnsi" w:cstheme="minorHAnsi"/>
          <w:sz w:val="24"/>
          <w:szCs w:val="24"/>
          <w:lang w:val="en-ID"/>
        </w:rPr>
        <w:t>ax avoidance is negatively impacted by tax enforcement.</w:t>
      </w:r>
    </w:p>
    <w:p w14:paraId="4594D9BA" w14:textId="77777777" w:rsidR="001D1F14" w:rsidRPr="001B1F5F" w:rsidRDefault="001D1F14" w:rsidP="00833C0F">
      <w:pPr>
        <w:pStyle w:val="NoSpacing"/>
        <w:rPr>
          <w:rFonts w:asciiTheme="minorHAnsi" w:hAnsiTheme="minorHAnsi" w:cstheme="minorHAnsi"/>
          <w:sz w:val="24"/>
          <w:szCs w:val="24"/>
          <w:lang w:val="en-ID"/>
        </w:rPr>
      </w:pPr>
    </w:p>
    <w:p w14:paraId="4A0A6831" w14:textId="27A4151F" w:rsidR="00833C0F" w:rsidRPr="001B1F5F" w:rsidRDefault="00833C0F" w:rsidP="00833C0F">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lastRenderedPageBreak/>
        <w:t>Related</w:t>
      </w:r>
      <w:r w:rsidR="001D1F14" w:rsidRPr="001B1F5F">
        <w:rPr>
          <w:rFonts w:asciiTheme="minorHAnsi" w:hAnsiTheme="minorHAnsi" w:cstheme="minorHAnsi"/>
          <w:sz w:val="24"/>
          <w:szCs w:val="24"/>
          <w:lang w:val="en-ID"/>
        </w:rPr>
        <w:t>-</w:t>
      </w:r>
      <w:r w:rsidRPr="001B1F5F">
        <w:rPr>
          <w:rFonts w:asciiTheme="minorHAnsi" w:hAnsiTheme="minorHAnsi" w:cstheme="minorHAnsi"/>
          <w:sz w:val="24"/>
          <w:szCs w:val="24"/>
          <w:lang w:val="en-ID"/>
        </w:rPr>
        <w:t xml:space="preserve">Party Transactions </w:t>
      </w:r>
    </w:p>
    <w:p w14:paraId="3D8DA97C" w14:textId="52599A93" w:rsidR="00833C0F" w:rsidRPr="001B1F5F" w:rsidRDefault="00833C0F" w:rsidP="00A0110A">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The arm's length principle is a key guideline when there are transactions between related parties. This principle aims to ensure that prices and profits related to these transactions align with what is expected in transactions between non-related parties. According to Park (2018), related parties can influence their business partnership, allowing adjustments to terms and conditions and transaction amounts according to their desires. </w:t>
      </w:r>
      <w:r w:rsidR="00615EB0" w:rsidRPr="001B1F5F">
        <w:rPr>
          <w:rFonts w:asciiTheme="minorHAnsi" w:hAnsiTheme="minorHAnsi" w:cstheme="minorHAnsi"/>
          <w:sz w:val="24"/>
          <w:szCs w:val="24"/>
          <w:lang w:val="en-ID"/>
        </w:rPr>
        <w:t xml:space="preserve">High-tax corporations may utilize this to cut their taxes by dealing on </w:t>
      </w:r>
      <w:proofErr w:type="spellStart"/>
      <w:r w:rsidR="00615EB0" w:rsidRPr="001B1F5F">
        <w:rPr>
          <w:rFonts w:asciiTheme="minorHAnsi" w:hAnsiTheme="minorHAnsi" w:cstheme="minorHAnsi"/>
          <w:sz w:val="24"/>
          <w:szCs w:val="24"/>
          <w:lang w:val="en-ID"/>
        </w:rPr>
        <w:t>favorable</w:t>
      </w:r>
      <w:proofErr w:type="spellEnd"/>
      <w:r w:rsidR="00615EB0" w:rsidRPr="001B1F5F">
        <w:rPr>
          <w:rFonts w:asciiTheme="minorHAnsi" w:hAnsiTheme="minorHAnsi" w:cstheme="minorHAnsi"/>
          <w:sz w:val="24"/>
          <w:szCs w:val="24"/>
          <w:lang w:val="en-ID"/>
        </w:rPr>
        <w:t xml:space="preserve"> terms with related parties who have reduced tax burdens, which will </w:t>
      </w:r>
      <w:r w:rsidRPr="001B1F5F">
        <w:rPr>
          <w:rFonts w:asciiTheme="minorHAnsi" w:hAnsiTheme="minorHAnsi" w:cstheme="minorHAnsi"/>
          <w:sz w:val="24"/>
          <w:szCs w:val="24"/>
          <w:lang w:val="en-ID"/>
        </w:rPr>
        <w:t xml:space="preserve">ultimately </w:t>
      </w:r>
      <w:r w:rsidR="00615EB0" w:rsidRPr="001B1F5F">
        <w:rPr>
          <w:rFonts w:asciiTheme="minorHAnsi" w:hAnsiTheme="minorHAnsi" w:cstheme="minorHAnsi"/>
          <w:sz w:val="24"/>
          <w:szCs w:val="24"/>
          <w:lang w:val="en-ID"/>
        </w:rPr>
        <w:t>result</w:t>
      </w:r>
      <w:r w:rsidRPr="001B1F5F">
        <w:rPr>
          <w:rFonts w:asciiTheme="minorHAnsi" w:hAnsiTheme="minorHAnsi" w:cstheme="minorHAnsi"/>
          <w:sz w:val="24"/>
          <w:szCs w:val="24"/>
          <w:lang w:val="en-ID"/>
        </w:rPr>
        <w:t xml:space="preserve"> in tax savings for the business group. </w:t>
      </w:r>
    </w:p>
    <w:p w14:paraId="0C4BF167" w14:textId="5FC84ACC" w:rsidR="00833C0F" w:rsidRPr="001B1F5F" w:rsidRDefault="00833C0F" w:rsidP="00833C0F">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Several studies, such as </w:t>
      </w:r>
      <w:r w:rsidR="00A0110A">
        <w:rPr>
          <w:rFonts w:asciiTheme="minorHAnsi" w:hAnsiTheme="minorHAnsi" w:cstheme="minorHAnsi"/>
          <w:sz w:val="24"/>
          <w:szCs w:val="24"/>
          <w:lang w:val="en-ID"/>
        </w:rPr>
        <w:fldChar w:fldCharType="begin"/>
      </w:r>
      <w:r w:rsidR="00A0110A">
        <w:rPr>
          <w:rFonts w:asciiTheme="minorHAnsi" w:hAnsiTheme="minorHAnsi" w:cstheme="minorHAnsi"/>
          <w:sz w:val="24"/>
          <w:szCs w:val="24"/>
          <w:lang w:val="en-ID"/>
        </w:rPr>
        <w:instrText xml:space="preserve"> ADDIN ZOTERO_ITEM CSL_CITATION {"citationID":"HVfvz5Zm","properties":{"formattedCitation":"(Barker et al., 2017)","plainCitation":"(Barker et al., 2017)","noteIndex":0},"citationItems":[{"id":636,"uris":["http://zotero.org/users/local/1kuimZT3/items/69D49EM9"],"itemData":{"id":636,"type":"article-journal","abstract":"Using transfer pricing, U.S. Corporations are able to transfer revenues to foreign affiliates with a lower corporate tax rates.  The Internal Revenue Code requires intercompany transactions to comply with the “Arm’s Length Principle” in order to prevent tax avoidance.   We describe and use elaborate examples to explain how US companies exploit flexibility in the tax code to employ transfer pricing and related tax reduction and avoidance methods. We discuss recent responses by regulatory bodies.","container-title":"Journal of Applied Business Research (JABR)","DOI":"10.19030/jabr.v33i1.9863","ISSN":"2157-8834","issue":"1","language":"en","license":"Copyright (c) 2016 Journal of Applied Business Research (JABR)","note":"number: 1","page":"9-16","source":"clutejournals.com","title":"Transfer Pricing As A Vehicle In Corporate Tax Avoidance","volume":"33","author":[{"family":"Barker","given":"Joel"},{"family":"Asare","given":"Kwadwo"},{"family":"Brickman","given":"Sharon"}],"issued":{"date-parts":[["2017"]]}}}],"schema":"https://github.com/citation-style-language/schema/raw/master/csl-citation.json"} </w:instrText>
      </w:r>
      <w:r w:rsidR="00A0110A">
        <w:rPr>
          <w:rFonts w:asciiTheme="minorHAnsi" w:hAnsiTheme="minorHAnsi" w:cstheme="minorHAnsi"/>
          <w:sz w:val="24"/>
          <w:szCs w:val="24"/>
          <w:lang w:val="en-ID"/>
        </w:rPr>
        <w:fldChar w:fldCharType="separate"/>
      </w:r>
      <w:r w:rsidR="00A0110A" w:rsidRPr="00A0110A">
        <w:rPr>
          <w:rFonts w:cs="Calibri"/>
          <w:sz w:val="24"/>
        </w:rPr>
        <w:t xml:space="preserve">Barker </w:t>
      </w:r>
      <w:r w:rsidR="00A0110A" w:rsidRPr="00A0110A">
        <w:rPr>
          <w:rFonts w:cs="Calibri"/>
          <w:i/>
          <w:iCs/>
          <w:sz w:val="24"/>
        </w:rPr>
        <w:t>et al</w:t>
      </w:r>
      <w:r w:rsidR="00A0110A" w:rsidRPr="00A0110A">
        <w:rPr>
          <w:rFonts w:cs="Calibri"/>
          <w:sz w:val="24"/>
        </w:rPr>
        <w:t>.</w:t>
      </w:r>
      <w:r w:rsidR="00A0110A">
        <w:rPr>
          <w:rFonts w:cs="Calibri"/>
          <w:sz w:val="24"/>
        </w:rPr>
        <w:t xml:space="preserve"> (</w:t>
      </w:r>
      <w:r w:rsidR="00A0110A" w:rsidRPr="00A0110A">
        <w:rPr>
          <w:rFonts w:cs="Calibri"/>
          <w:sz w:val="24"/>
        </w:rPr>
        <w:t>2017)</w:t>
      </w:r>
      <w:r w:rsidR="00A0110A">
        <w:rPr>
          <w:rFonts w:asciiTheme="minorHAnsi" w:hAnsiTheme="minorHAnsi" w:cstheme="minorHAnsi"/>
          <w:sz w:val="24"/>
          <w:szCs w:val="24"/>
          <w:lang w:val="en-ID"/>
        </w:rPr>
        <w:fldChar w:fldCharType="end"/>
      </w:r>
      <w:r w:rsidR="00A0110A">
        <w:rPr>
          <w:rFonts w:asciiTheme="minorHAnsi" w:hAnsiTheme="minorHAnsi" w:cstheme="minorHAnsi"/>
          <w:sz w:val="24"/>
          <w:szCs w:val="24"/>
          <w:lang w:val="en-ID"/>
        </w:rPr>
        <w:t xml:space="preserve"> </w:t>
      </w:r>
      <w:r w:rsidRPr="001B1F5F">
        <w:rPr>
          <w:rFonts w:asciiTheme="minorHAnsi" w:hAnsiTheme="minorHAnsi" w:cstheme="minorHAnsi"/>
          <w:sz w:val="24"/>
          <w:szCs w:val="24"/>
          <w:lang w:val="en-ID"/>
        </w:rPr>
        <w:t xml:space="preserve">in the U.S., Taylor &amp; Richardson (2012) in Australia, Park (2018) in Korea, </w:t>
      </w:r>
      <w:r w:rsidR="00A0110A">
        <w:rPr>
          <w:rFonts w:asciiTheme="minorHAnsi" w:hAnsiTheme="minorHAnsi" w:cstheme="minorHAnsi"/>
          <w:sz w:val="24"/>
          <w:szCs w:val="24"/>
          <w:lang w:val="en-ID"/>
        </w:rPr>
        <w:fldChar w:fldCharType="begin"/>
      </w:r>
      <w:r w:rsidR="00A0110A">
        <w:rPr>
          <w:rFonts w:asciiTheme="minorHAnsi" w:hAnsiTheme="minorHAnsi" w:cstheme="minorHAnsi"/>
          <w:sz w:val="24"/>
          <w:szCs w:val="24"/>
          <w:lang w:val="en-ID"/>
        </w:rPr>
        <w:instrText xml:space="preserve"> ADDIN ZOTERO_ITEM CSL_CITATION {"citationID":"7YW93co5","properties":{"formattedCitation":"(Sari et al., 2020)","plainCitation":"(Sari et al., 2020)","noteIndex":0},"citationItems":[{"id":643,"uris":["http://zotero.org/users/local/1kuimZT3/items/B7RCCNUY"],"itemData":{"id":643,"type":"article-journal","abstract":"Purpose The purpose of this paper is to examine the existence of income shifting using the practice of transfer pricing (TP), not only in sales but also in purchase and management service transactions, in Asian developing countries. The paper also investigates the role of the specific anti-avoidance rules (SAAR) in preventing TP practices in various types of transaction. Design/methodology/approach The research employs panel data from a sample of 200 subsidiaries in ten countries over the period 2010–2014. Findings Different results were obtained from previous research on developed countries, which found that TP practice was proven in sales transactions. This study finds no evidence for TP practices in sales transactions, but that they do take place in purchase, management service fee and management services revenue transactions. The study also finds evidence that SAAR reduces the practice of TP in sales transactions. Originality/value The research investigates TP practices, not only those related to sales, but also to purchases, management service fees and management service revenue to related parties. The sample comprises multinational subsidiaries located in Asian developing countries that have rarely been investigated in previous studies. This research examines the effect of SAAR in preventing TP practices in various types of transaction and develops scoring based on an instrument that integrates each SAAR rule/requirement.","container-title":"International Journal of Emerging Markets","DOI":"10.1108/IJOEM-10-2018-0541","ISSN":"1746-8809","issue":"3","note":"publisher: Emerald Publishing Limited","page":"492-516","source":"Emerald Insight","title":"Transfer pricing practices and specific anti-avoidance rules in Asian developing countries","volume":"16","author":[{"family":"Sari","given":"Dahlia"},{"family":"Utama","given":"Sidharta"},{"family":"Fitriany","given":""},{"family":"Rahayu","given":"Ning"}],"issued":{"date-parts":[["2020",1,1]]}}}],"schema":"https://github.com/citation-style-language/schema/raw/master/csl-citation.json"} </w:instrText>
      </w:r>
      <w:r w:rsidR="00A0110A">
        <w:rPr>
          <w:rFonts w:asciiTheme="minorHAnsi" w:hAnsiTheme="minorHAnsi" w:cstheme="minorHAnsi"/>
          <w:sz w:val="24"/>
          <w:szCs w:val="24"/>
          <w:lang w:val="en-ID"/>
        </w:rPr>
        <w:fldChar w:fldCharType="separate"/>
      </w:r>
      <w:r w:rsidR="00A0110A" w:rsidRPr="00A0110A">
        <w:rPr>
          <w:rFonts w:cs="Calibri"/>
          <w:sz w:val="24"/>
        </w:rPr>
        <w:t xml:space="preserve">Sari </w:t>
      </w:r>
      <w:r w:rsidR="00A0110A" w:rsidRPr="00A0110A">
        <w:rPr>
          <w:rFonts w:cs="Calibri"/>
          <w:i/>
          <w:iCs/>
          <w:sz w:val="24"/>
        </w:rPr>
        <w:t>et al</w:t>
      </w:r>
      <w:r w:rsidR="00A0110A" w:rsidRPr="00A0110A">
        <w:rPr>
          <w:rFonts w:cs="Calibri"/>
          <w:sz w:val="24"/>
        </w:rPr>
        <w:t>.</w:t>
      </w:r>
      <w:r w:rsidR="00A0110A">
        <w:rPr>
          <w:rFonts w:cs="Calibri"/>
          <w:sz w:val="24"/>
        </w:rPr>
        <w:t xml:space="preserve"> (</w:t>
      </w:r>
      <w:r w:rsidR="00A0110A" w:rsidRPr="00A0110A">
        <w:rPr>
          <w:rFonts w:cs="Calibri"/>
          <w:sz w:val="24"/>
        </w:rPr>
        <w:t>2020)</w:t>
      </w:r>
      <w:r w:rsidR="00A0110A">
        <w:rPr>
          <w:rFonts w:asciiTheme="minorHAnsi" w:hAnsiTheme="minorHAnsi" w:cstheme="minorHAnsi"/>
          <w:sz w:val="24"/>
          <w:szCs w:val="24"/>
          <w:lang w:val="en-ID"/>
        </w:rPr>
        <w:fldChar w:fldCharType="end"/>
      </w:r>
      <w:r w:rsidR="00A0110A">
        <w:rPr>
          <w:rFonts w:asciiTheme="minorHAnsi" w:hAnsiTheme="minorHAnsi" w:cstheme="minorHAnsi"/>
          <w:sz w:val="24"/>
          <w:szCs w:val="24"/>
          <w:lang w:val="en-ID"/>
        </w:rPr>
        <w:t xml:space="preserve"> </w:t>
      </w:r>
      <w:r w:rsidRPr="001B1F5F">
        <w:rPr>
          <w:rFonts w:asciiTheme="minorHAnsi" w:hAnsiTheme="minorHAnsi" w:cstheme="minorHAnsi"/>
          <w:sz w:val="24"/>
          <w:szCs w:val="24"/>
          <w:lang w:val="en-ID"/>
        </w:rPr>
        <w:t xml:space="preserve">in East, Southeast, and South Asia, </w:t>
      </w:r>
      <w:proofErr w:type="spellStart"/>
      <w:r w:rsidRPr="001B1F5F">
        <w:rPr>
          <w:rFonts w:asciiTheme="minorHAnsi" w:hAnsiTheme="minorHAnsi" w:cstheme="minorHAnsi"/>
          <w:sz w:val="24"/>
          <w:szCs w:val="24"/>
          <w:lang w:val="en-ID"/>
        </w:rPr>
        <w:t>Azizah</w:t>
      </w:r>
      <w:proofErr w:type="spellEnd"/>
      <w:r w:rsidRPr="001B1F5F">
        <w:rPr>
          <w:rFonts w:asciiTheme="minorHAnsi" w:hAnsiTheme="minorHAnsi" w:cstheme="minorHAnsi"/>
          <w:sz w:val="24"/>
          <w:szCs w:val="24"/>
          <w:lang w:val="en-ID"/>
        </w:rPr>
        <w:t xml:space="preserve"> &amp; </w:t>
      </w:r>
      <w:proofErr w:type="spellStart"/>
      <w:r w:rsidRPr="001B1F5F">
        <w:rPr>
          <w:rFonts w:asciiTheme="minorHAnsi" w:hAnsiTheme="minorHAnsi" w:cstheme="minorHAnsi"/>
          <w:sz w:val="24"/>
          <w:szCs w:val="24"/>
          <w:lang w:val="en-ID"/>
        </w:rPr>
        <w:t>Kusmuriyanto</w:t>
      </w:r>
      <w:proofErr w:type="spellEnd"/>
      <w:r w:rsidRPr="001B1F5F">
        <w:rPr>
          <w:rFonts w:asciiTheme="minorHAnsi" w:hAnsiTheme="minorHAnsi" w:cstheme="minorHAnsi"/>
          <w:sz w:val="24"/>
          <w:szCs w:val="24"/>
          <w:lang w:val="en-ID"/>
        </w:rPr>
        <w:t xml:space="preserve"> (2016) and </w:t>
      </w:r>
      <w:proofErr w:type="spellStart"/>
      <w:r w:rsidRPr="001B1F5F">
        <w:rPr>
          <w:rFonts w:asciiTheme="minorHAnsi" w:hAnsiTheme="minorHAnsi" w:cstheme="minorHAnsi"/>
          <w:sz w:val="24"/>
          <w:szCs w:val="24"/>
          <w:lang w:val="en-ID"/>
        </w:rPr>
        <w:t>Rezeki</w:t>
      </w:r>
      <w:proofErr w:type="spellEnd"/>
      <w:r w:rsidRPr="001B1F5F">
        <w:rPr>
          <w:rFonts w:asciiTheme="minorHAnsi" w:hAnsiTheme="minorHAnsi" w:cstheme="minorHAnsi"/>
          <w:sz w:val="24"/>
          <w:szCs w:val="24"/>
          <w:lang w:val="en-ID"/>
        </w:rPr>
        <w:t xml:space="preserve"> </w:t>
      </w:r>
      <w:r w:rsidRPr="00A0110A">
        <w:rPr>
          <w:rFonts w:asciiTheme="minorHAnsi" w:hAnsiTheme="minorHAnsi" w:cstheme="minorHAnsi"/>
          <w:i/>
          <w:iCs/>
          <w:sz w:val="24"/>
          <w:szCs w:val="24"/>
          <w:lang w:val="en-ID"/>
        </w:rPr>
        <w:t>et al.</w:t>
      </w:r>
      <w:r w:rsidRPr="001B1F5F">
        <w:rPr>
          <w:rFonts w:asciiTheme="minorHAnsi" w:hAnsiTheme="minorHAnsi" w:cstheme="minorHAnsi"/>
          <w:sz w:val="24"/>
          <w:szCs w:val="24"/>
          <w:lang w:val="en-ID"/>
        </w:rPr>
        <w:t xml:space="preserve"> (2021) in Indonesia, have shown that </w:t>
      </w:r>
      <w:r w:rsidR="001D1F14" w:rsidRPr="001B1F5F">
        <w:rPr>
          <w:rFonts w:asciiTheme="minorHAnsi" w:hAnsiTheme="minorHAnsi" w:cstheme="minorHAnsi"/>
          <w:sz w:val="24"/>
          <w:szCs w:val="24"/>
          <w:lang w:val="en-ID"/>
        </w:rPr>
        <w:t>related-party</w:t>
      </w:r>
      <w:r w:rsidRPr="001B1F5F">
        <w:rPr>
          <w:rFonts w:asciiTheme="minorHAnsi" w:hAnsiTheme="minorHAnsi" w:cstheme="minorHAnsi"/>
          <w:sz w:val="24"/>
          <w:szCs w:val="24"/>
          <w:lang w:val="en-ID"/>
        </w:rPr>
        <w:t xml:space="preserve"> transactions affect tax avoidance. Based on theoretical reviews and previous research findings, research hypotheses formulated in alternative form are: </w:t>
      </w:r>
    </w:p>
    <w:p w14:paraId="5878A87A" w14:textId="599CEBEC" w:rsidR="00833C0F" w:rsidRPr="001B1F5F" w:rsidRDefault="00833C0F" w:rsidP="00833C0F">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Hypothesis 2: </w:t>
      </w:r>
      <w:r w:rsidR="00666A18">
        <w:rPr>
          <w:rFonts w:asciiTheme="minorHAnsi" w:hAnsiTheme="minorHAnsi" w:cstheme="minorHAnsi"/>
          <w:sz w:val="24"/>
          <w:szCs w:val="24"/>
          <w:lang w:val="en-ID"/>
        </w:rPr>
        <w:t xml:space="preserve">Conforming </w:t>
      </w:r>
      <w:r w:rsidR="0099392E">
        <w:rPr>
          <w:rFonts w:asciiTheme="minorHAnsi" w:hAnsiTheme="minorHAnsi" w:cstheme="minorHAnsi"/>
          <w:sz w:val="24"/>
          <w:szCs w:val="24"/>
          <w:lang w:val="en-ID"/>
        </w:rPr>
        <w:t>t</w:t>
      </w:r>
      <w:r w:rsidR="001D1F14" w:rsidRPr="001B1F5F">
        <w:rPr>
          <w:rFonts w:asciiTheme="minorHAnsi" w:hAnsiTheme="minorHAnsi" w:cstheme="minorHAnsi"/>
          <w:sz w:val="24"/>
          <w:szCs w:val="24"/>
          <w:lang w:val="en-ID"/>
        </w:rPr>
        <w:t>ax avoidance is positively impacted by r</w:t>
      </w:r>
      <w:r w:rsidRPr="001B1F5F">
        <w:rPr>
          <w:rFonts w:asciiTheme="minorHAnsi" w:hAnsiTheme="minorHAnsi" w:cstheme="minorHAnsi"/>
          <w:sz w:val="24"/>
          <w:szCs w:val="24"/>
          <w:lang w:val="en-ID"/>
        </w:rPr>
        <w:t>elated</w:t>
      </w:r>
      <w:r w:rsidR="001D1F14" w:rsidRPr="001B1F5F">
        <w:rPr>
          <w:rFonts w:asciiTheme="minorHAnsi" w:hAnsiTheme="minorHAnsi" w:cstheme="minorHAnsi"/>
          <w:sz w:val="24"/>
          <w:szCs w:val="24"/>
          <w:lang w:val="en-ID"/>
        </w:rPr>
        <w:t>-</w:t>
      </w:r>
      <w:r w:rsidRPr="001B1F5F">
        <w:rPr>
          <w:rFonts w:asciiTheme="minorHAnsi" w:hAnsiTheme="minorHAnsi" w:cstheme="minorHAnsi"/>
          <w:sz w:val="24"/>
          <w:szCs w:val="24"/>
          <w:lang w:val="en-ID"/>
        </w:rPr>
        <w:t>party transactions</w:t>
      </w:r>
      <w:r w:rsidR="001D1F14" w:rsidRPr="001B1F5F">
        <w:rPr>
          <w:rFonts w:asciiTheme="minorHAnsi" w:hAnsiTheme="minorHAnsi" w:cstheme="minorHAnsi"/>
          <w:sz w:val="24"/>
          <w:szCs w:val="24"/>
          <w:lang w:val="en-ID"/>
        </w:rPr>
        <w:t>.</w:t>
      </w:r>
    </w:p>
    <w:p w14:paraId="22902A42" w14:textId="77777777" w:rsidR="00833C0F" w:rsidRPr="001B1F5F" w:rsidRDefault="00833C0F" w:rsidP="00833C0F">
      <w:pPr>
        <w:pStyle w:val="NoSpacing"/>
        <w:rPr>
          <w:rFonts w:asciiTheme="minorHAnsi" w:hAnsiTheme="minorHAnsi" w:cstheme="minorHAnsi"/>
          <w:sz w:val="24"/>
          <w:szCs w:val="24"/>
          <w:lang w:val="en-ID"/>
        </w:rPr>
      </w:pPr>
    </w:p>
    <w:p w14:paraId="36B074A3" w14:textId="3F688A5A" w:rsidR="00833C0F" w:rsidRPr="001B1F5F" w:rsidRDefault="00833C0F" w:rsidP="00833C0F">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External Audit</w:t>
      </w:r>
    </w:p>
    <w:p w14:paraId="40EFA195" w14:textId="6EED0403" w:rsidR="00833C0F" w:rsidRPr="001B1F5F" w:rsidRDefault="00481A7A" w:rsidP="00A0110A">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There are two hypotheses related to firm size and tax avoidance, namely the political cost hypothesis and the political power theory. </w:t>
      </w:r>
      <w:r w:rsidR="00DF2817" w:rsidRPr="001B1F5F">
        <w:rPr>
          <w:rFonts w:asciiTheme="minorHAnsi" w:hAnsiTheme="minorHAnsi" w:cstheme="minorHAnsi"/>
          <w:sz w:val="24"/>
          <w:szCs w:val="24"/>
          <w:lang w:val="en-ID"/>
        </w:rPr>
        <w:t>According to Watts</w:t>
      </w:r>
      <w:r w:rsidR="00A0110A">
        <w:rPr>
          <w:rFonts w:asciiTheme="minorHAnsi" w:hAnsiTheme="minorHAnsi" w:cstheme="minorHAnsi"/>
          <w:sz w:val="24"/>
          <w:szCs w:val="24"/>
          <w:lang w:val="en-ID"/>
        </w:rPr>
        <w:t xml:space="preserve"> &amp;</w:t>
      </w:r>
      <w:r w:rsidR="00DF2817" w:rsidRPr="001B1F5F">
        <w:rPr>
          <w:rFonts w:asciiTheme="minorHAnsi" w:hAnsiTheme="minorHAnsi" w:cstheme="minorHAnsi"/>
          <w:sz w:val="24"/>
          <w:szCs w:val="24"/>
          <w:lang w:val="en-ID"/>
        </w:rPr>
        <w:t xml:space="preserve"> Zimmerman's (1986) Positive Accounting Theory, the political cost hypothesi</w:t>
      </w:r>
      <w:r w:rsidRPr="001B1F5F">
        <w:rPr>
          <w:rFonts w:asciiTheme="minorHAnsi" w:hAnsiTheme="minorHAnsi" w:cstheme="minorHAnsi"/>
          <w:sz w:val="24"/>
          <w:szCs w:val="24"/>
          <w:lang w:val="en-ID"/>
        </w:rPr>
        <w:t xml:space="preserve">s proposes </w:t>
      </w:r>
      <w:r w:rsidR="00DF2817" w:rsidRPr="001B1F5F">
        <w:rPr>
          <w:rFonts w:asciiTheme="minorHAnsi" w:hAnsiTheme="minorHAnsi" w:cstheme="minorHAnsi"/>
          <w:sz w:val="24"/>
          <w:szCs w:val="24"/>
          <w:lang w:val="en-ID"/>
        </w:rPr>
        <w:t xml:space="preserve">that larger corporations are subject to more government regulations due to their greater exposure and larger scale. </w:t>
      </w:r>
      <w:r w:rsidR="00833C0F" w:rsidRPr="001B1F5F">
        <w:rPr>
          <w:rFonts w:asciiTheme="minorHAnsi" w:hAnsiTheme="minorHAnsi" w:cstheme="minorHAnsi"/>
          <w:sz w:val="24"/>
          <w:szCs w:val="24"/>
          <w:lang w:val="en-ID"/>
        </w:rPr>
        <w:t xml:space="preserve">As a result, large companies face higher political costs due to tax rules and policies that can disadvantage them. This view is based on two main arguments: large companies are bound by more government regulations and are more vulnerable to public pressure and scrutiny. </w:t>
      </w:r>
    </w:p>
    <w:p w14:paraId="24E475BA" w14:textId="30E523DF" w:rsidR="00833C0F" w:rsidRPr="001B1F5F" w:rsidRDefault="00481A7A" w:rsidP="00833C0F">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On the other hand, the political power theory suggests that larger companies possessing significant financial resources can carry out tax strategies and shape the political landscape to their advantage, ultimately leading to the greatest possible tax savings. </w:t>
      </w:r>
      <w:r w:rsidR="00833C0F" w:rsidRPr="001B1F5F">
        <w:rPr>
          <w:rFonts w:asciiTheme="minorHAnsi" w:hAnsiTheme="minorHAnsi" w:cstheme="minorHAnsi"/>
          <w:sz w:val="24"/>
          <w:szCs w:val="24"/>
          <w:lang w:val="en-ID"/>
        </w:rPr>
        <w:t xml:space="preserve">This ability includes the use of external audit services or large accounting firms in tax preparation, planning, and reporting. </w:t>
      </w:r>
      <w:r w:rsidRPr="001B1F5F">
        <w:rPr>
          <w:rFonts w:asciiTheme="minorHAnsi" w:hAnsiTheme="minorHAnsi" w:cstheme="minorHAnsi"/>
          <w:sz w:val="24"/>
          <w:szCs w:val="24"/>
          <w:lang w:val="en-ID"/>
        </w:rPr>
        <w:t xml:space="preserve">Numerous research initiatives have examined the influence of external audit on tax avoidance, with varying results. </w:t>
      </w:r>
      <w:r w:rsidR="00833C0F" w:rsidRPr="001B1F5F">
        <w:rPr>
          <w:rFonts w:asciiTheme="minorHAnsi" w:hAnsiTheme="minorHAnsi" w:cstheme="minorHAnsi"/>
          <w:sz w:val="24"/>
          <w:szCs w:val="24"/>
          <w:lang w:val="en-ID"/>
        </w:rPr>
        <w:t xml:space="preserve">Some studies, such as </w:t>
      </w:r>
      <w:r w:rsidR="00A0110A">
        <w:rPr>
          <w:rFonts w:asciiTheme="minorHAnsi" w:hAnsiTheme="minorHAnsi" w:cstheme="minorHAnsi"/>
          <w:sz w:val="24"/>
          <w:szCs w:val="24"/>
          <w:lang w:val="en-ID"/>
        </w:rPr>
        <w:fldChar w:fldCharType="begin"/>
      </w:r>
      <w:r w:rsidR="00A0110A">
        <w:rPr>
          <w:rFonts w:asciiTheme="minorHAnsi" w:hAnsiTheme="minorHAnsi" w:cstheme="minorHAnsi"/>
          <w:sz w:val="24"/>
          <w:szCs w:val="24"/>
          <w:lang w:val="en-ID"/>
        </w:rPr>
        <w:instrText xml:space="preserve"> ADDIN ZOTERO_ITEM CSL_CITATION {"citationID":"i61a7fUB","properties":{"formattedCitation":"(Klassen et al., 2016)","plainCitation":"(Klassen et al., 2016)","noteIndex":0},"citationItems":[{"id":677,"uris":["http://zotero.org/users/local/1kuimZT3/items/C8U3IBFR"],"itemData":{"id":677,"type":"article-journal","abstract":"Using confidential data from the Internal Revenue Service on who signs a corporation's tax return, we investigate whether the party primarily responsible for the tax compliance function of the firm—the auditor, an external non-auditor, or the internal tax department—is related to the corporation's tax aggressiveness. We report three key findings: (1) firms preparing their own tax returns or hiring a non-auditor claim more aggressive tax positions than firms using their auditor as the tax preparer; (2) auditor-provided tax services are related to tax aggressiveness even after considering tax preparer identity, which supports and extends prior research using tax fees as a proxy for tax planning; and (3) Big 4 tax preparers, in particular, are linked to less tax aggressiveness when they are the auditor than when they are not the auditor. Our findings help policymakers and researchers better understand an important feature of tax compliance intermediaries; particularly, how the dual role via audits is related to observable corporate tax outcomes.","container-title":"The Accounting Review","DOI":"10.2308/accr-51137","ISSN":"0001-4826","issue":"1","journalAbbreviation":"The Accounting Review","page":"179-205","source":"Silverchair","title":"The Role of Auditors, Non-Auditors, and Internal Tax Departments in Corporate Tax Aggressiveness","volume":"91","author":[{"family":"Klassen","given":"Kenneth J."},{"family":"Lisowsky","given":"Petro"},{"family":"Mescall","given":"Devan"}],"issued":{"date-parts":[["2016",1,1]]}}}],"schema":"https://github.com/citation-style-language/schema/raw/master/csl-citation.json"} </w:instrText>
      </w:r>
      <w:r w:rsidR="00A0110A">
        <w:rPr>
          <w:rFonts w:asciiTheme="minorHAnsi" w:hAnsiTheme="minorHAnsi" w:cstheme="minorHAnsi"/>
          <w:sz w:val="24"/>
          <w:szCs w:val="24"/>
          <w:lang w:val="en-ID"/>
        </w:rPr>
        <w:fldChar w:fldCharType="separate"/>
      </w:r>
      <w:r w:rsidR="00A0110A" w:rsidRPr="00A0110A">
        <w:rPr>
          <w:rFonts w:cs="Calibri"/>
          <w:sz w:val="24"/>
        </w:rPr>
        <w:t xml:space="preserve">Klassen </w:t>
      </w:r>
      <w:r w:rsidR="00A0110A" w:rsidRPr="00A0110A">
        <w:rPr>
          <w:rFonts w:cs="Calibri"/>
          <w:i/>
          <w:iCs/>
          <w:sz w:val="24"/>
        </w:rPr>
        <w:t>et al</w:t>
      </w:r>
      <w:r w:rsidR="00A0110A" w:rsidRPr="00A0110A">
        <w:rPr>
          <w:rFonts w:cs="Calibri"/>
          <w:sz w:val="24"/>
        </w:rPr>
        <w:t>.</w:t>
      </w:r>
      <w:r w:rsidR="00A0110A">
        <w:rPr>
          <w:rFonts w:cs="Calibri"/>
          <w:sz w:val="24"/>
        </w:rPr>
        <w:t xml:space="preserve"> (</w:t>
      </w:r>
      <w:r w:rsidR="00A0110A" w:rsidRPr="00A0110A">
        <w:rPr>
          <w:rFonts w:cs="Calibri"/>
          <w:sz w:val="24"/>
        </w:rPr>
        <w:t>2016)</w:t>
      </w:r>
      <w:r w:rsidR="00A0110A">
        <w:rPr>
          <w:rFonts w:asciiTheme="minorHAnsi" w:hAnsiTheme="minorHAnsi" w:cstheme="minorHAnsi"/>
          <w:sz w:val="24"/>
          <w:szCs w:val="24"/>
          <w:lang w:val="en-ID"/>
        </w:rPr>
        <w:fldChar w:fldCharType="end"/>
      </w:r>
      <w:r w:rsidR="00A0110A">
        <w:rPr>
          <w:rFonts w:asciiTheme="minorHAnsi" w:hAnsiTheme="minorHAnsi" w:cstheme="minorHAnsi"/>
          <w:sz w:val="24"/>
          <w:szCs w:val="24"/>
          <w:lang w:val="en-ID"/>
        </w:rPr>
        <w:t xml:space="preserve"> </w:t>
      </w:r>
      <w:r w:rsidR="00DA2EA9" w:rsidRPr="001B1F5F">
        <w:rPr>
          <w:rFonts w:asciiTheme="minorHAnsi" w:hAnsiTheme="minorHAnsi" w:cstheme="minorHAnsi"/>
          <w:sz w:val="24"/>
          <w:szCs w:val="24"/>
          <w:lang w:val="en-ID"/>
        </w:rPr>
        <w:t>in the United States</w:t>
      </w:r>
      <w:r w:rsidR="00BF2EC6" w:rsidRPr="001B1F5F">
        <w:rPr>
          <w:rFonts w:asciiTheme="minorHAnsi" w:hAnsiTheme="minorHAnsi" w:cstheme="minorHAnsi"/>
          <w:sz w:val="24"/>
          <w:szCs w:val="24"/>
          <w:lang w:val="en-ID"/>
        </w:rPr>
        <w:t xml:space="preserve">, </w:t>
      </w:r>
      <w:proofErr w:type="spellStart"/>
      <w:r w:rsidR="00833C0F" w:rsidRPr="001B1F5F">
        <w:rPr>
          <w:rFonts w:asciiTheme="minorHAnsi" w:hAnsiTheme="minorHAnsi" w:cstheme="minorHAnsi"/>
          <w:sz w:val="24"/>
          <w:szCs w:val="24"/>
          <w:lang w:val="en-ID"/>
        </w:rPr>
        <w:t>Sunarsih</w:t>
      </w:r>
      <w:proofErr w:type="spellEnd"/>
      <w:r w:rsidR="00833C0F" w:rsidRPr="001B1F5F">
        <w:rPr>
          <w:rFonts w:asciiTheme="minorHAnsi" w:hAnsiTheme="minorHAnsi" w:cstheme="minorHAnsi"/>
          <w:sz w:val="24"/>
          <w:szCs w:val="24"/>
          <w:lang w:val="en-ID"/>
        </w:rPr>
        <w:t xml:space="preserve"> &amp; </w:t>
      </w:r>
      <w:proofErr w:type="spellStart"/>
      <w:r w:rsidR="00833C0F" w:rsidRPr="001B1F5F">
        <w:rPr>
          <w:rFonts w:asciiTheme="minorHAnsi" w:hAnsiTheme="minorHAnsi" w:cstheme="minorHAnsi"/>
          <w:sz w:val="24"/>
          <w:szCs w:val="24"/>
          <w:lang w:val="en-ID"/>
        </w:rPr>
        <w:t>Oktaviani</w:t>
      </w:r>
      <w:proofErr w:type="spellEnd"/>
      <w:r w:rsidR="00833C0F" w:rsidRPr="001B1F5F">
        <w:rPr>
          <w:rFonts w:asciiTheme="minorHAnsi" w:hAnsiTheme="minorHAnsi" w:cstheme="minorHAnsi"/>
          <w:sz w:val="24"/>
          <w:szCs w:val="24"/>
          <w:lang w:val="en-ID"/>
        </w:rPr>
        <w:t xml:space="preserve"> (2016)</w:t>
      </w:r>
      <w:r w:rsidR="00BF2EC6" w:rsidRPr="001B1F5F">
        <w:rPr>
          <w:rFonts w:asciiTheme="minorHAnsi" w:hAnsiTheme="minorHAnsi" w:cstheme="minorHAnsi"/>
          <w:sz w:val="24"/>
          <w:szCs w:val="24"/>
          <w:lang w:val="en-ID"/>
        </w:rPr>
        <w:t xml:space="preserve">, </w:t>
      </w:r>
      <w:r w:rsidR="00833C0F" w:rsidRPr="001B1F5F">
        <w:rPr>
          <w:rFonts w:asciiTheme="minorHAnsi" w:hAnsiTheme="minorHAnsi" w:cstheme="minorHAnsi"/>
          <w:sz w:val="24"/>
          <w:szCs w:val="24"/>
          <w:lang w:val="en-ID"/>
        </w:rPr>
        <w:t xml:space="preserve">Sandy &amp; </w:t>
      </w:r>
      <w:proofErr w:type="spellStart"/>
      <w:r w:rsidR="00833C0F" w:rsidRPr="001B1F5F">
        <w:rPr>
          <w:rFonts w:asciiTheme="minorHAnsi" w:hAnsiTheme="minorHAnsi" w:cstheme="minorHAnsi"/>
          <w:sz w:val="24"/>
          <w:szCs w:val="24"/>
          <w:lang w:val="en-ID"/>
        </w:rPr>
        <w:t>Lukviarman</w:t>
      </w:r>
      <w:proofErr w:type="spellEnd"/>
      <w:r w:rsidR="00833C0F" w:rsidRPr="001B1F5F">
        <w:rPr>
          <w:rFonts w:asciiTheme="minorHAnsi" w:hAnsiTheme="minorHAnsi" w:cstheme="minorHAnsi"/>
          <w:sz w:val="24"/>
          <w:szCs w:val="24"/>
          <w:lang w:val="en-ID"/>
        </w:rPr>
        <w:t xml:space="preserve"> (2015)</w:t>
      </w:r>
      <w:r w:rsidR="00BF2EC6" w:rsidRPr="001B1F5F">
        <w:rPr>
          <w:rFonts w:asciiTheme="minorHAnsi" w:hAnsiTheme="minorHAnsi" w:cstheme="minorHAnsi"/>
          <w:sz w:val="24"/>
          <w:szCs w:val="24"/>
          <w:lang w:val="en-ID"/>
        </w:rPr>
        <w:t xml:space="preserve">, </w:t>
      </w:r>
      <w:proofErr w:type="spellStart"/>
      <w:r w:rsidR="00833C0F" w:rsidRPr="001B1F5F">
        <w:rPr>
          <w:rFonts w:asciiTheme="minorHAnsi" w:hAnsiTheme="minorHAnsi" w:cstheme="minorHAnsi"/>
          <w:sz w:val="24"/>
          <w:szCs w:val="24"/>
          <w:lang w:val="en-ID"/>
        </w:rPr>
        <w:t>Maraya</w:t>
      </w:r>
      <w:proofErr w:type="spellEnd"/>
      <w:r w:rsidR="00833C0F" w:rsidRPr="001B1F5F">
        <w:rPr>
          <w:rFonts w:asciiTheme="minorHAnsi" w:hAnsiTheme="minorHAnsi" w:cstheme="minorHAnsi"/>
          <w:sz w:val="24"/>
          <w:szCs w:val="24"/>
          <w:lang w:val="en-ID"/>
        </w:rPr>
        <w:t xml:space="preserve"> &amp; </w:t>
      </w:r>
      <w:proofErr w:type="spellStart"/>
      <w:r w:rsidR="00833C0F" w:rsidRPr="001B1F5F">
        <w:rPr>
          <w:rFonts w:asciiTheme="minorHAnsi" w:hAnsiTheme="minorHAnsi" w:cstheme="minorHAnsi"/>
          <w:sz w:val="24"/>
          <w:szCs w:val="24"/>
          <w:lang w:val="en-ID"/>
        </w:rPr>
        <w:t>Yendrawati</w:t>
      </w:r>
      <w:proofErr w:type="spellEnd"/>
      <w:r w:rsidR="00833C0F" w:rsidRPr="001B1F5F">
        <w:rPr>
          <w:rFonts w:asciiTheme="minorHAnsi" w:hAnsiTheme="minorHAnsi" w:cstheme="minorHAnsi"/>
          <w:sz w:val="24"/>
          <w:szCs w:val="24"/>
          <w:lang w:val="en-ID"/>
        </w:rPr>
        <w:t xml:space="preserve"> (2016), and </w:t>
      </w:r>
      <w:proofErr w:type="spellStart"/>
      <w:r w:rsidR="00833C0F" w:rsidRPr="001B1F5F">
        <w:rPr>
          <w:rFonts w:asciiTheme="minorHAnsi" w:hAnsiTheme="minorHAnsi" w:cstheme="minorHAnsi"/>
          <w:sz w:val="24"/>
          <w:szCs w:val="24"/>
          <w:lang w:val="en-ID"/>
        </w:rPr>
        <w:t>Suyono</w:t>
      </w:r>
      <w:proofErr w:type="spellEnd"/>
      <w:r w:rsidR="00833C0F" w:rsidRPr="001B1F5F">
        <w:rPr>
          <w:rFonts w:asciiTheme="minorHAnsi" w:hAnsiTheme="minorHAnsi" w:cstheme="minorHAnsi"/>
          <w:sz w:val="24"/>
          <w:szCs w:val="24"/>
          <w:lang w:val="en-ID"/>
        </w:rPr>
        <w:t xml:space="preserve"> (2018)</w:t>
      </w:r>
      <w:r w:rsidR="00DA2EA9" w:rsidRPr="001B1F5F">
        <w:rPr>
          <w:rFonts w:asciiTheme="minorHAnsi" w:hAnsiTheme="minorHAnsi" w:cstheme="minorHAnsi"/>
          <w:sz w:val="24"/>
          <w:szCs w:val="24"/>
          <w:lang w:val="en-ID"/>
        </w:rPr>
        <w:t xml:space="preserve"> in Indonesia</w:t>
      </w:r>
      <w:r w:rsidR="00833C0F" w:rsidRPr="001B1F5F">
        <w:rPr>
          <w:rFonts w:asciiTheme="minorHAnsi" w:hAnsiTheme="minorHAnsi" w:cstheme="minorHAnsi"/>
          <w:sz w:val="24"/>
          <w:szCs w:val="24"/>
          <w:lang w:val="en-ID"/>
        </w:rPr>
        <w:t xml:space="preserve">, </w:t>
      </w:r>
      <w:r w:rsidRPr="001B1F5F">
        <w:rPr>
          <w:rFonts w:asciiTheme="minorHAnsi" w:hAnsiTheme="minorHAnsi" w:cstheme="minorHAnsi"/>
          <w:sz w:val="24"/>
          <w:szCs w:val="24"/>
          <w:lang w:val="en-ID"/>
        </w:rPr>
        <w:t>show that there is less tax avoidance in businesses that Big 4 Public Accounting Firms examine.</w:t>
      </w:r>
      <w:r w:rsidR="00833C0F" w:rsidRPr="001B1F5F">
        <w:rPr>
          <w:rFonts w:asciiTheme="minorHAnsi" w:hAnsiTheme="minorHAnsi" w:cstheme="minorHAnsi"/>
          <w:sz w:val="24"/>
          <w:szCs w:val="24"/>
          <w:lang w:val="en-ID"/>
        </w:rPr>
        <w:t xml:space="preserve"> On the other hand, </w:t>
      </w:r>
      <w:r w:rsidR="00A0110A">
        <w:rPr>
          <w:rFonts w:asciiTheme="minorHAnsi" w:hAnsiTheme="minorHAnsi" w:cstheme="minorHAnsi"/>
          <w:sz w:val="24"/>
          <w:szCs w:val="24"/>
          <w:lang w:val="en-ID"/>
        </w:rPr>
        <w:fldChar w:fldCharType="begin"/>
      </w:r>
      <w:r w:rsidR="00A0110A">
        <w:rPr>
          <w:rFonts w:asciiTheme="minorHAnsi" w:hAnsiTheme="minorHAnsi" w:cstheme="minorHAnsi"/>
          <w:sz w:val="24"/>
          <w:szCs w:val="24"/>
          <w:lang w:val="en-ID"/>
        </w:rPr>
        <w:instrText xml:space="preserve"> ADDIN ZOTERO_ITEM CSL_CITATION {"citationID":"jK5Ec4W7","properties":{"formattedCitation":"(McGuire et al., 2012)","plainCitation":"(McGuire et al., 2012)","noteIndex":0},"citationItems":[{"id":679,"uris":["http://zotero.org/users/local/1kuimZT3/items/UHW947N5"],"itemData":{"id":679,"type":"article-journal","abstract":"This study investigates whether the tax-specific industry expertise of the external audit firm influences its clients' level of tax avoidance. Our results suggest that clients purchasing tax services from their external audit firm engage in greater tax avoidance when their external audit firm is a tax expert. Because the external audit firm potentially influences clients' tax avoidance activities via the provision of tax consulting services and the financial statement audit, we also examine whether the overall expertise (i.e., the combined tax and audit expertise) of the external audit firm is associated with tax avoidance. We find that the external audit firm's overall expertise is generally associated with greater tax avoidance, which suggests that overall experts are able to combine their audit and tax expertise to develop tax strategies that benefit clients from both a tax and financial statement perspective. In combination, our results suggest that the tax-specific industry expertise of the external audit firm plays a significant role in its clients' tax avoidance.Data Availability: Data used in this study are available from public sources identified in the article.","container-title":"The Accounting Review","DOI":"10.2308/accr-10215","ISSN":"0001-4826","issue":"3","journalAbbreviation":"The Accounting Review","page":"975-1003","source":"Silverchair","title":"Tax Avoidance: Does Tax-Specific Industry Expertise Make a Difference?","title-short":"Tax Avoidance","volume":"87","author":[{"family":"McGuire","given":"Sean T."},{"family":"Omer","given":"Thomas C."},{"family":"Wang","given":"Dechun"}],"issued":{"date-parts":[["2012",5,1]]}}}],"schema":"https://github.com/citation-style-language/schema/raw/master/csl-citation.json"} </w:instrText>
      </w:r>
      <w:r w:rsidR="00A0110A">
        <w:rPr>
          <w:rFonts w:asciiTheme="minorHAnsi" w:hAnsiTheme="minorHAnsi" w:cstheme="minorHAnsi"/>
          <w:sz w:val="24"/>
          <w:szCs w:val="24"/>
          <w:lang w:val="en-ID"/>
        </w:rPr>
        <w:fldChar w:fldCharType="separate"/>
      </w:r>
      <w:r w:rsidR="00A0110A" w:rsidRPr="00A0110A">
        <w:rPr>
          <w:rFonts w:cs="Calibri"/>
          <w:sz w:val="24"/>
        </w:rPr>
        <w:t xml:space="preserve">McGuire </w:t>
      </w:r>
      <w:r w:rsidR="00A0110A" w:rsidRPr="00A0110A">
        <w:rPr>
          <w:rFonts w:cs="Calibri"/>
          <w:i/>
          <w:iCs/>
          <w:sz w:val="24"/>
        </w:rPr>
        <w:t>et al</w:t>
      </w:r>
      <w:r w:rsidR="00A0110A" w:rsidRPr="00A0110A">
        <w:rPr>
          <w:rFonts w:cs="Calibri"/>
          <w:sz w:val="24"/>
        </w:rPr>
        <w:t>.</w:t>
      </w:r>
      <w:r w:rsidR="00A0110A">
        <w:rPr>
          <w:rFonts w:cs="Calibri"/>
          <w:sz w:val="24"/>
        </w:rPr>
        <w:t xml:space="preserve"> (</w:t>
      </w:r>
      <w:r w:rsidR="00A0110A" w:rsidRPr="00A0110A">
        <w:rPr>
          <w:rFonts w:cs="Calibri"/>
          <w:sz w:val="24"/>
        </w:rPr>
        <w:t>2012</w:t>
      </w:r>
      <w:r w:rsidR="00A0110A">
        <w:rPr>
          <w:rFonts w:asciiTheme="minorHAnsi" w:hAnsiTheme="minorHAnsi" w:cstheme="minorHAnsi"/>
          <w:sz w:val="24"/>
          <w:szCs w:val="24"/>
          <w:lang w:val="en-ID"/>
        </w:rPr>
        <w:fldChar w:fldCharType="end"/>
      </w:r>
      <w:r w:rsidR="00A0110A">
        <w:rPr>
          <w:rFonts w:asciiTheme="minorHAnsi" w:hAnsiTheme="minorHAnsi" w:cstheme="minorHAnsi"/>
          <w:sz w:val="24"/>
          <w:szCs w:val="24"/>
          <w:lang w:val="en-ID"/>
        </w:rPr>
        <w:t xml:space="preserve">) </w:t>
      </w:r>
      <w:r w:rsidR="00833C0F" w:rsidRPr="001B1F5F">
        <w:rPr>
          <w:rFonts w:asciiTheme="minorHAnsi" w:hAnsiTheme="minorHAnsi" w:cstheme="minorHAnsi"/>
          <w:sz w:val="24"/>
          <w:szCs w:val="24"/>
          <w:lang w:val="en-ID"/>
        </w:rPr>
        <w:t xml:space="preserve">and Hogan &amp; </w:t>
      </w:r>
      <w:proofErr w:type="spellStart"/>
      <w:r w:rsidR="00833C0F" w:rsidRPr="001B1F5F">
        <w:rPr>
          <w:rFonts w:asciiTheme="minorHAnsi" w:hAnsiTheme="minorHAnsi" w:cstheme="minorHAnsi"/>
          <w:sz w:val="24"/>
          <w:szCs w:val="24"/>
          <w:lang w:val="en-ID"/>
        </w:rPr>
        <w:t>Noga</w:t>
      </w:r>
      <w:proofErr w:type="spellEnd"/>
      <w:r w:rsidR="00833C0F" w:rsidRPr="001B1F5F">
        <w:rPr>
          <w:rFonts w:asciiTheme="minorHAnsi" w:hAnsiTheme="minorHAnsi" w:cstheme="minorHAnsi"/>
          <w:sz w:val="24"/>
          <w:szCs w:val="24"/>
          <w:lang w:val="en-ID"/>
        </w:rPr>
        <w:t xml:space="preserve"> (2015) found different results, showing that firms using tax planning services engage in more significant tax avoidance </w:t>
      </w:r>
      <w:bookmarkStart w:id="1" w:name="_Hlk152255761"/>
      <w:r w:rsidR="00833C0F" w:rsidRPr="001B1F5F">
        <w:rPr>
          <w:rFonts w:asciiTheme="minorHAnsi" w:hAnsiTheme="minorHAnsi" w:cstheme="minorHAnsi"/>
          <w:sz w:val="24"/>
          <w:szCs w:val="24"/>
          <w:lang w:val="en-ID"/>
        </w:rPr>
        <w:t>in the United States</w:t>
      </w:r>
      <w:bookmarkEnd w:id="1"/>
      <w:r w:rsidR="00833C0F" w:rsidRPr="001B1F5F">
        <w:rPr>
          <w:rFonts w:asciiTheme="minorHAnsi" w:hAnsiTheme="minorHAnsi" w:cstheme="minorHAnsi"/>
          <w:sz w:val="24"/>
          <w:szCs w:val="24"/>
          <w:lang w:val="en-ID"/>
        </w:rPr>
        <w:t xml:space="preserve">. </w:t>
      </w:r>
      <w:r w:rsidR="00A0110A">
        <w:rPr>
          <w:rFonts w:asciiTheme="minorHAnsi" w:hAnsiTheme="minorHAnsi" w:cstheme="minorHAnsi"/>
          <w:sz w:val="24"/>
          <w:szCs w:val="24"/>
          <w:lang w:val="en-ID"/>
        </w:rPr>
        <w:fldChar w:fldCharType="begin"/>
      </w:r>
      <w:r w:rsidR="00A0110A">
        <w:rPr>
          <w:rFonts w:asciiTheme="minorHAnsi" w:hAnsiTheme="minorHAnsi" w:cstheme="minorHAnsi"/>
          <w:sz w:val="24"/>
          <w:szCs w:val="24"/>
          <w:lang w:val="en-ID"/>
        </w:rPr>
        <w:instrText xml:space="preserve"> ADDIN ZOTERO_ITEM CSL_CITATION {"citationID":"cGtPfKpo","properties":{"formattedCitation":"(Santos et al., 2021)","plainCitation":"(Santos et al., 2021)","noteIndex":0},"citationItems":[{"id":693,"uris":["http://zotero.org/users/local/1kuimZT3/items/CUGU74RT"],"itemData":{"id":693,"type":"article-journal","abstract":"This article investigated the temporal association between the tax services provided by auditors and the tax avoidance of Brazilian companies. A panel of non...","container-title":"Revista de Contabilidade e Organizações","language":"en","source":"www.redalyc.org","title":"The influence of tax services provided by auditors on tax avoidance: evidence from Brazil","title-short":"The influence of tax services provided by auditors on tax avoidance","URL":"https://www.redalyc.org/journal/2352/235267639018/html/","volume":"15","author":[{"family":"Santos","given":"Luis Paulo Guimarães","dropping-particle":"dos"},{"family":"Soares","given":"Paula Araújo"},{"family":"Freitas","given":"Sheizi Calheira","dropping-particle":"de"},{"family":"Dias","given":"José Maria"}],"accessed":{"date-parts":[["2023",5,31]]},"issued":{"date-parts":[["2021"]]}}}],"schema":"https://github.com/citation-style-language/schema/raw/master/csl-citation.json"} </w:instrText>
      </w:r>
      <w:r w:rsidR="00A0110A">
        <w:rPr>
          <w:rFonts w:asciiTheme="minorHAnsi" w:hAnsiTheme="minorHAnsi" w:cstheme="minorHAnsi"/>
          <w:sz w:val="24"/>
          <w:szCs w:val="24"/>
          <w:lang w:val="en-ID"/>
        </w:rPr>
        <w:fldChar w:fldCharType="separate"/>
      </w:r>
      <w:r w:rsidR="00A0110A" w:rsidRPr="00A0110A">
        <w:rPr>
          <w:rFonts w:cs="Calibri"/>
          <w:sz w:val="24"/>
        </w:rPr>
        <w:t xml:space="preserve">Santos </w:t>
      </w:r>
      <w:r w:rsidR="00A0110A" w:rsidRPr="00A0110A">
        <w:rPr>
          <w:rFonts w:cs="Calibri"/>
          <w:i/>
          <w:iCs/>
          <w:sz w:val="24"/>
        </w:rPr>
        <w:t>et al.</w:t>
      </w:r>
      <w:r w:rsidR="00A0110A">
        <w:rPr>
          <w:rFonts w:cs="Calibri"/>
          <w:sz w:val="24"/>
        </w:rPr>
        <w:t xml:space="preserve"> (</w:t>
      </w:r>
      <w:r w:rsidR="00A0110A" w:rsidRPr="00A0110A">
        <w:rPr>
          <w:rFonts w:cs="Calibri"/>
          <w:sz w:val="24"/>
        </w:rPr>
        <w:t>2021)</w:t>
      </w:r>
      <w:r w:rsidR="00A0110A">
        <w:rPr>
          <w:rFonts w:asciiTheme="minorHAnsi" w:hAnsiTheme="minorHAnsi" w:cstheme="minorHAnsi"/>
          <w:sz w:val="24"/>
          <w:szCs w:val="24"/>
          <w:lang w:val="en-ID"/>
        </w:rPr>
        <w:fldChar w:fldCharType="end"/>
      </w:r>
      <w:r w:rsidR="00833C0F" w:rsidRPr="001B1F5F">
        <w:rPr>
          <w:rFonts w:asciiTheme="minorHAnsi" w:hAnsiTheme="minorHAnsi" w:cstheme="minorHAnsi"/>
          <w:sz w:val="24"/>
          <w:szCs w:val="24"/>
          <w:lang w:val="en-ID"/>
        </w:rPr>
        <w:t xml:space="preserve"> in a study using data from Brazil, also found similar results. Therefore, based on the theoretical review and previous research findings, the research hypothesis is formulated in alternative form as follows: </w:t>
      </w:r>
    </w:p>
    <w:p w14:paraId="4192DFC0" w14:textId="75EB7554" w:rsidR="00322B43" w:rsidRDefault="00833C0F" w:rsidP="001D1F14">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Hypothesis 3: </w:t>
      </w:r>
      <w:r w:rsidR="0099392E">
        <w:rPr>
          <w:rFonts w:asciiTheme="minorHAnsi" w:hAnsiTheme="minorHAnsi" w:cstheme="minorHAnsi"/>
          <w:sz w:val="24"/>
          <w:szCs w:val="24"/>
          <w:lang w:val="en-ID"/>
        </w:rPr>
        <w:t>Conforming t</w:t>
      </w:r>
      <w:r w:rsidR="001D1F14" w:rsidRPr="001B1F5F">
        <w:rPr>
          <w:rFonts w:asciiTheme="minorHAnsi" w:hAnsiTheme="minorHAnsi" w:cstheme="minorHAnsi"/>
          <w:sz w:val="24"/>
          <w:szCs w:val="24"/>
          <w:lang w:val="en-ID"/>
        </w:rPr>
        <w:t>ax avoidance is positively impacted by e</w:t>
      </w:r>
      <w:r w:rsidRPr="001B1F5F">
        <w:rPr>
          <w:rFonts w:asciiTheme="minorHAnsi" w:hAnsiTheme="minorHAnsi" w:cstheme="minorHAnsi"/>
          <w:sz w:val="24"/>
          <w:szCs w:val="24"/>
          <w:lang w:val="en-ID"/>
        </w:rPr>
        <w:t>xternal audit</w:t>
      </w:r>
      <w:r w:rsidR="001D1F14" w:rsidRPr="001B1F5F">
        <w:rPr>
          <w:rFonts w:asciiTheme="minorHAnsi" w:hAnsiTheme="minorHAnsi" w:cstheme="minorHAnsi"/>
          <w:sz w:val="24"/>
          <w:szCs w:val="24"/>
          <w:lang w:val="en-ID"/>
        </w:rPr>
        <w:t>.</w:t>
      </w:r>
    </w:p>
    <w:p w14:paraId="74955B01" w14:textId="77777777" w:rsidR="0009066A" w:rsidRPr="001B1F5F" w:rsidRDefault="0009066A" w:rsidP="001D1F14">
      <w:pPr>
        <w:pStyle w:val="NoSpacing"/>
        <w:rPr>
          <w:rFonts w:asciiTheme="minorHAnsi" w:hAnsiTheme="minorHAnsi" w:cstheme="minorHAnsi"/>
          <w:sz w:val="24"/>
          <w:szCs w:val="24"/>
          <w:lang w:val="en-ID"/>
        </w:rPr>
      </w:pPr>
    </w:p>
    <w:p w14:paraId="267652F6" w14:textId="619DE06D" w:rsidR="001D1F14" w:rsidRDefault="001D1F14" w:rsidP="001D1F14">
      <w:pPr>
        <w:pStyle w:val="NoSpacing"/>
        <w:rPr>
          <w:rFonts w:asciiTheme="minorHAnsi" w:hAnsiTheme="minorHAnsi" w:cstheme="minorHAnsi"/>
          <w:sz w:val="24"/>
          <w:szCs w:val="24"/>
        </w:rPr>
      </w:pPr>
    </w:p>
    <w:p w14:paraId="00B79B34" w14:textId="1EC9D90F" w:rsidR="00A0110A" w:rsidRDefault="00A0110A" w:rsidP="001D1F14">
      <w:pPr>
        <w:pStyle w:val="NoSpacing"/>
        <w:rPr>
          <w:rFonts w:asciiTheme="minorHAnsi" w:hAnsiTheme="minorHAnsi" w:cstheme="minorHAnsi"/>
          <w:sz w:val="24"/>
          <w:szCs w:val="24"/>
        </w:rPr>
      </w:pPr>
    </w:p>
    <w:p w14:paraId="4098CCA6" w14:textId="40EFC420" w:rsidR="00A0110A" w:rsidRDefault="00A0110A" w:rsidP="001D1F14">
      <w:pPr>
        <w:pStyle w:val="NoSpacing"/>
        <w:rPr>
          <w:rFonts w:asciiTheme="minorHAnsi" w:hAnsiTheme="minorHAnsi" w:cstheme="minorHAnsi"/>
          <w:sz w:val="24"/>
          <w:szCs w:val="24"/>
        </w:rPr>
      </w:pPr>
    </w:p>
    <w:p w14:paraId="4943CA41" w14:textId="77777777" w:rsidR="00A0110A" w:rsidRPr="001B1F5F" w:rsidRDefault="00A0110A" w:rsidP="001D1F14">
      <w:pPr>
        <w:pStyle w:val="NoSpacing"/>
        <w:rPr>
          <w:rFonts w:asciiTheme="minorHAnsi" w:hAnsiTheme="minorHAnsi" w:cstheme="minorHAnsi"/>
          <w:sz w:val="24"/>
          <w:szCs w:val="24"/>
        </w:rPr>
      </w:pPr>
    </w:p>
    <w:p w14:paraId="3A9EAEE1" w14:textId="77777777" w:rsidR="00BC1696" w:rsidRPr="001B1F5F" w:rsidRDefault="0018729A" w:rsidP="00F73E0F">
      <w:pPr>
        <w:pStyle w:val="NoSpacing"/>
        <w:spacing w:after="120"/>
        <w:jc w:val="both"/>
        <w:rPr>
          <w:rFonts w:asciiTheme="minorHAnsi" w:hAnsiTheme="minorHAnsi" w:cstheme="minorHAnsi"/>
          <w:b/>
          <w:sz w:val="24"/>
          <w:szCs w:val="24"/>
        </w:rPr>
      </w:pPr>
      <w:r w:rsidRPr="001B1F5F">
        <w:rPr>
          <w:rFonts w:asciiTheme="minorHAnsi" w:hAnsiTheme="minorHAnsi" w:cstheme="minorHAnsi"/>
          <w:b/>
          <w:sz w:val="24"/>
          <w:szCs w:val="24"/>
        </w:rPr>
        <w:t>METHODS</w:t>
      </w:r>
    </w:p>
    <w:p w14:paraId="33CC67BA" w14:textId="314F419F" w:rsidR="00833C0F" w:rsidRPr="001B1F5F" w:rsidRDefault="00833C0F" w:rsidP="000F5FDE">
      <w:pPr>
        <w:pStyle w:val="NoSpacing"/>
        <w:jc w:val="both"/>
        <w:rPr>
          <w:rFonts w:asciiTheme="minorHAnsi" w:hAnsiTheme="minorHAnsi" w:cstheme="minorHAnsi"/>
          <w:sz w:val="24"/>
          <w:szCs w:val="24"/>
        </w:rPr>
      </w:pPr>
      <w:r w:rsidRPr="001B1F5F">
        <w:rPr>
          <w:rFonts w:asciiTheme="minorHAnsi" w:hAnsiTheme="minorHAnsi" w:cstheme="minorHAnsi"/>
          <w:sz w:val="24"/>
          <w:szCs w:val="24"/>
        </w:rPr>
        <w:t>Research Design</w:t>
      </w:r>
    </w:p>
    <w:p w14:paraId="123B8069" w14:textId="054B3175" w:rsidR="00C77796" w:rsidRPr="001B1F5F" w:rsidRDefault="00833C0F" w:rsidP="00A0110A">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This study is causal research aimed at testing hypotheses </w:t>
      </w:r>
      <w:r w:rsidR="007C27FB" w:rsidRPr="001B1F5F">
        <w:rPr>
          <w:rFonts w:asciiTheme="minorHAnsi" w:hAnsiTheme="minorHAnsi" w:cstheme="minorHAnsi"/>
          <w:sz w:val="24"/>
          <w:szCs w:val="24"/>
          <w:lang w:val="en-ID"/>
        </w:rPr>
        <w:t>regarding</w:t>
      </w:r>
      <w:r w:rsidRPr="001B1F5F">
        <w:rPr>
          <w:rFonts w:asciiTheme="minorHAnsi" w:hAnsiTheme="minorHAnsi" w:cstheme="minorHAnsi"/>
          <w:sz w:val="24"/>
          <w:szCs w:val="24"/>
          <w:lang w:val="en-ID"/>
        </w:rPr>
        <w:t xml:space="preserve"> the </w:t>
      </w:r>
      <w:r w:rsidR="007C27FB" w:rsidRPr="001B1F5F">
        <w:rPr>
          <w:rFonts w:asciiTheme="minorHAnsi" w:hAnsiTheme="minorHAnsi" w:cstheme="minorHAnsi"/>
          <w:sz w:val="24"/>
          <w:szCs w:val="24"/>
          <w:lang w:val="en-ID"/>
        </w:rPr>
        <w:t>effects</w:t>
      </w:r>
      <w:r w:rsidRPr="001B1F5F">
        <w:rPr>
          <w:rFonts w:asciiTheme="minorHAnsi" w:hAnsiTheme="minorHAnsi" w:cstheme="minorHAnsi"/>
          <w:sz w:val="24"/>
          <w:szCs w:val="24"/>
          <w:lang w:val="en-ID"/>
        </w:rPr>
        <w:t xml:space="preserve"> of tax law enforcement, related-party transactions, and the use of external audit services on tax avoidance practices in manufacturing sector companies</w:t>
      </w:r>
      <w:r w:rsidR="007C27FB" w:rsidRPr="001B1F5F">
        <w:rPr>
          <w:rFonts w:asciiTheme="minorHAnsi" w:hAnsiTheme="minorHAnsi" w:cstheme="minorHAnsi"/>
          <w:sz w:val="24"/>
          <w:szCs w:val="24"/>
          <w:lang w:val="en-ID"/>
        </w:rPr>
        <w:t xml:space="preserve"> that are</w:t>
      </w:r>
      <w:r w:rsidRPr="001B1F5F">
        <w:rPr>
          <w:rFonts w:asciiTheme="minorHAnsi" w:hAnsiTheme="minorHAnsi" w:cstheme="minorHAnsi"/>
          <w:sz w:val="24"/>
          <w:szCs w:val="24"/>
          <w:lang w:val="en-ID"/>
        </w:rPr>
        <w:t xml:space="preserve"> listed on the Indonesia Stock Exchange </w:t>
      </w:r>
      <w:r w:rsidR="007C27FB" w:rsidRPr="001B1F5F">
        <w:rPr>
          <w:rFonts w:asciiTheme="minorHAnsi" w:hAnsiTheme="minorHAnsi" w:cstheme="minorHAnsi"/>
          <w:sz w:val="24"/>
          <w:szCs w:val="24"/>
          <w:lang w:val="en-ID"/>
        </w:rPr>
        <w:t>between</w:t>
      </w:r>
      <w:r w:rsidRPr="001B1F5F">
        <w:rPr>
          <w:rFonts w:asciiTheme="minorHAnsi" w:hAnsiTheme="minorHAnsi" w:cstheme="minorHAnsi"/>
          <w:sz w:val="24"/>
          <w:szCs w:val="24"/>
          <w:lang w:val="en-ID"/>
        </w:rPr>
        <w:t xml:space="preserve"> 2012 </w:t>
      </w:r>
      <w:r w:rsidR="007C27FB" w:rsidRPr="001B1F5F">
        <w:rPr>
          <w:rFonts w:asciiTheme="minorHAnsi" w:hAnsiTheme="minorHAnsi" w:cstheme="minorHAnsi"/>
          <w:sz w:val="24"/>
          <w:szCs w:val="24"/>
          <w:lang w:val="en-ID"/>
        </w:rPr>
        <w:t>and</w:t>
      </w:r>
      <w:r w:rsidRPr="001B1F5F">
        <w:rPr>
          <w:rFonts w:asciiTheme="minorHAnsi" w:hAnsiTheme="minorHAnsi" w:cstheme="minorHAnsi"/>
          <w:sz w:val="24"/>
          <w:szCs w:val="24"/>
          <w:lang w:val="en-ID"/>
        </w:rPr>
        <w:t xml:space="preserve"> 2021. </w:t>
      </w:r>
    </w:p>
    <w:p w14:paraId="6ADCE76D" w14:textId="77777777" w:rsidR="00C77796" w:rsidRPr="001B1F5F" w:rsidRDefault="00C77796" w:rsidP="00833C0F">
      <w:pPr>
        <w:pStyle w:val="NoSpacing"/>
        <w:jc w:val="both"/>
        <w:rPr>
          <w:rFonts w:asciiTheme="minorHAnsi" w:hAnsiTheme="minorHAnsi" w:cstheme="minorHAnsi"/>
          <w:sz w:val="24"/>
          <w:szCs w:val="24"/>
          <w:lang w:val="en-ID"/>
        </w:rPr>
      </w:pPr>
    </w:p>
    <w:p w14:paraId="223C2A7D" w14:textId="77777777" w:rsidR="00C77796" w:rsidRPr="001B1F5F" w:rsidRDefault="00833C0F" w:rsidP="00833C0F">
      <w:pPr>
        <w:pStyle w:val="NoSpacing"/>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Population and Sample </w:t>
      </w:r>
    </w:p>
    <w:p w14:paraId="6BC8AD89" w14:textId="5022C241" w:rsidR="00833C0F" w:rsidRPr="001B1F5F" w:rsidRDefault="00C54145" w:rsidP="00A0110A">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Manufacturing sector enterprises registered on the Indonesia Stock Exchange between 2012 and 2021 comprise the research population. Purposive sampling is the approach used for sample selection, in which the researcher chooses the sample based on predetermined criteria (Sekaran, 2013). </w:t>
      </w:r>
      <w:r w:rsidR="00833C0F" w:rsidRPr="001B1F5F">
        <w:rPr>
          <w:rFonts w:asciiTheme="minorHAnsi" w:hAnsiTheme="minorHAnsi" w:cstheme="minorHAnsi"/>
          <w:sz w:val="24"/>
          <w:szCs w:val="24"/>
          <w:lang w:val="en-ID"/>
        </w:rPr>
        <w:t>To filter the data, the following steps are applied:</w:t>
      </w:r>
    </w:p>
    <w:p w14:paraId="0CB64D32" w14:textId="77777777" w:rsidR="00833C0F" w:rsidRPr="001B1F5F" w:rsidRDefault="00833C0F" w:rsidP="00833C0F">
      <w:pPr>
        <w:pStyle w:val="NoSpacing"/>
        <w:numPr>
          <w:ilvl w:val="0"/>
          <w:numId w:val="8"/>
        </w:numPr>
        <w:rPr>
          <w:rFonts w:asciiTheme="minorHAnsi" w:hAnsiTheme="minorHAnsi" w:cstheme="minorHAnsi"/>
          <w:sz w:val="24"/>
          <w:szCs w:val="24"/>
          <w:lang w:val="en-ID"/>
        </w:rPr>
      </w:pPr>
      <w:r w:rsidRPr="001B1F5F">
        <w:rPr>
          <w:rFonts w:asciiTheme="minorHAnsi" w:hAnsiTheme="minorHAnsi" w:cstheme="minorHAnsi"/>
          <w:sz w:val="24"/>
          <w:szCs w:val="24"/>
          <w:lang w:val="en-ID"/>
        </w:rPr>
        <w:t>Companies with missing or incomplete data are excluded from the sample.</w:t>
      </w:r>
    </w:p>
    <w:p w14:paraId="149A2E81" w14:textId="1A9D0148" w:rsidR="00A0110A" w:rsidRPr="00A0110A" w:rsidRDefault="00833C0F" w:rsidP="00E3578F">
      <w:pPr>
        <w:pStyle w:val="NoSpacing"/>
        <w:numPr>
          <w:ilvl w:val="0"/>
          <w:numId w:val="8"/>
        </w:numPr>
        <w:spacing w:after="240"/>
        <w:rPr>
          <w:rFonts w:asciiTheme="minorHAnsi" w:hAnsiTheme="minorHAnsi" w:cstheme="minorHAnsi"/>
          <w:sz w:val="24"/>
          <w:szCs w:val="24"/>
          <w:lang w:val="en-ID"/>
        </w:rPr>
      </w:pPr>
      <w:r w:rsidRPr="00A0110A">
        <w:rPr>
          <w:rFonts w:asciiTheme="minorHAnsi" w:hAnsiTheme="minorHAnsi" w:cstheme="minorHAnsi"/>
          <w:sz w:val="24"/>
          <w:szCs w:val="24"/>
          <w:lang w:val="en-ID"/>
        </w:rPr>
        <w:t>Only companies that can provide complete data to calculate the tax payment-to-operating cash flow ratio will be included in the research sample.</w:t>
      </w:r>
    </w:p>
    <w:p w14:paraId="53EABD63" w14:textId="115FA034" w:rsidR="00833C0F" w:rsidRPr="001B1F5F" w:rsidRDefault="00833C0F" w:rsidP="00833C0F">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Table 1. Sample Criteria</w:t>
      </w:r>
    </w:p>
    <w:tbl>
      <w:tblPr>
        <w:tblW w:w="4992" w:type="pct"/>
        <w:tblLook w:val="04A0" w:firstRow="1" w:lastRow="0" w:firstColumn="1" w:lastColumn="0" w:noHBand="0" w:noVBand="1"/>
      </w:tblPr>
      <w:tblGrid>
        <w:gridCol w:w="1218"/>
        <w:gridCol w:w="6840"/>
        <w:gridCol w:w="1790"/>
      </w:tblGrid>
      <w:tr w:rsidR="00833C0F" w:rsidRPr="001B1F5F" w14:paraId="792A7FEB" w14:textId="77777777" w:rsidTr="00833C0F">
        <w:tc>
          <w:tcPr>
            <w:tcW w:w="467" w:type="pct"/>
            <w:tcBorders>
              <w:top w:val="single" w:sz="4" w:space="0" w:color="auto"/>
              <w:bottom w:val="single" w:sz="4" w:space="0" w:color="auto"/>
            </w:tcBorders>
          </w:tcPr>
          <w:p w14:paraId="010E1F04" w14:textId="77777777" w:rsidR="00833C0F" w:rsidRPr="001B1F5F" w:rsidRDefault="00833C0F" w:rsidP="00833C0F">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rPr>
              <w:t>No</w:t>
            </w:r>
          </w:p>
        </w:tc>
        <w:tc>
          <w:tcPr>
            <w:tcW w:w="3908" w:type="pct"/>
            <w:tcBorders>
              <w:top w:val="single" w:sz="4" w:space="0" w:color="auto"/>
              <w:bottom w:val="single" w:sz="4" w:space="0" w:color="auto"/>
            </w:tcBorders>
          </w:tcPr>
          <w:p w14:paraId="15C899BF" w14:textId="6C8E89EE" w:rsidR="00833C0F" w:rsidRPr="001B1F5F" w:rsidRDefault="00833C0F" w:rsidP="00833C0F">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rPr>
              <w:t>Description</w:t>
            </w:r>
          </w:p>
        </w:tc>
        <w:tc>
          <w:tcPr>
            <w:tcW w:w="625" w:type="pct"/>
            <w:tcBorders>
              <w:top w:val="single" w:sz="4" w:space="0" w:color="auto"/>
              <w:bottom w:val="single" w:sz="4" w:space="0" w:color="auto"/>
            </w:tcBorders>
          </w:tcPr>
          <w:p w14:paraId="4BBEFE31" w14:textId="2C48E881" w:rsidR="00833C0F" w:rsidRPr="001B1F5F" w:rsidRDefault="00833C0F" w:rsidP="00833C0F">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rPr>
              <w:t>Quantity</w:t>
            </w:r>
          </w:p>
        </w:tc>
      </w:tr>
      <w:tr w:rsidR="00833C0F" w:rsidRPr="001B1F5F" w14:paraId="54FF5FB9" w14:textId="77777777" w:rsidTr="00833C0F">
        <w:tc>
          <w:tcPr>
            <w:tcW w:w="467" w:type="pct"/>
            <w:tcBorders>
              <w:top w:val="single" w:sz="4" w:space="0" w:color="auto"/>
            </w:tcBorders>
          </w:tcPr>
          <w:p w14:paraId="6E7A41FF" w14:textId="77777777" w:rsidR="00833C0F" w:rsidRPr="001B1F5F" w:rsidRDefault="00833C0F" w:rsidP="00833C0F">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rPr>
              <w:t>1.</w:t>
            </w:r>
          </w:p>
        </w:tc>
        <w:tc>
          <w:tcPr>
            <w:tcW w:w="3908" w:type="pct"/>
            <w:tcBorders>
              <w:top w:val="single" w:sz="4" w:space="0" w:color="auto"/>
            </w:tcBorders>
          </w:tcPr>
          <w:p w14:paraId="6342B591" w14:textId="30FB1693" w:rsidR="00833C0F" w:rsidRPr="001B1F5F" w:rsidRDefault="00833C0F" w:rsidP="00833C0F">
            <w:pPr>
              <w:pStyle w:val="NoSpacing"/>
              <w:jc w:val="both"/>
              <w:rPr>
                <w:rFonts w:asciiTheme="minorHAnsi" w:hAnsiTheme="minorHAnsi" w:cstheme="minorHAnsi"/>
                <w:sz w:val="24"/>
                <w:szCs w:val="24"/>
              </w:rPr>
            </w:pPr>
            <w:r w:rsidRPr="001B1F5F">
              <w:rPr>
                <w:rFonts w:asciiTheme="minorHAnsi" w:hAnsiTheme="minorHAnsi" w:cstheme="minorHAnsi"/>
                <w:sz w:val="24"/>
                <w:szCs w:val="24"/>
                <w:lang w:val="en-ID"/>
              </w:rPr>
              <w:t>Number of registered manufacturing companies in the period of 2012-2021</w:t>
            </w:r>
          </w:p>
        </w:tc>
        <w:tc>
          <w:tcPr>
            <w:tcW w:w="625" w:type="pct"/>
            <w:tcBorders>
              <w:top w:val="single" w:sz="4" w:space="0" w:color="auto"/>
            </w:tcBorders>
          </w:tcPr>
          <w:p w14:paraId="113C651A" w14:textId="360686A4" w:rsidR="00833C0F" w:rsidRPr="001B1F5F" w:rsidRDefault="00833C0F" w:rsidP="00833C0F">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rPr>
              <w:t>233</w:t>
            </w:r>
          </w:p>
        </w:tc>
      </w:tr>
      <w:tr w:rsidR="00833C0F" w:rsidRPr="001B1F5F" w14:paraId="17D26CC0" w14:textId="77777777" w:rsidTr="00833C0F">
        <w:tc>
          <w:tcPr>
            <w:tcW w:w="467" w:type="pct"/>
          </w:tcPr>
          <w:p w14:paraId="64082EC5" w14:textId="77777777" w:rsidR="00833C0F" w:rsidRPr="001B1F5F" w:rsidRDefault="00833C0F" w:rsidP="00833C0F">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rPr>
              <w:t>2.</w:t>
            </w:r>
          </w:p>
        </w:tc>
        <w:tc>
          <w:tcPr>
            <w:tcW w:w="3908" w:type="pct"/>
          </w:tcPr>
          <w:p w14:paraId="28F7315B" w14:textId="5DC9D6E8" w:rsidR="00833C0F" w:rsidRPr="001B1F5F" w:rsidRDefault="00833C0F" w:rsidP="00833C0F">
            <w:pPr>
              <w:pStyle w:val="NoSpacing"/>
              <w:rPr>
                <w:rFonts w:asciiTheme="minorHAnsi" w:hAnsiTheme="minorHAnsi" w:cstheme="minorHAnsi"/>
                <w:sz w:val="24"/>
                <w:szCs w:val="24"/>
              </w:rPr>
            </w:pPr>
            <w:r w:rsidRPr="001B1F5F">
              <w:rPr>
                <w:rFonts w:asciiTheme="minorHAnsi" w:hAnsiTheme="minorHAnsi" w:cstheme="minorHAnsi"/>
                <w:sz w:val="24"/>
                <w:szCs w:val="24"/>
                <w:lang w:val="en-ID"/>
              </w:rPr>
              <w:t>Companies without positive profits for the fiscal year 2012-2021</w:t>
            </w:r>
          </w:p>
        </w:tc>
        <w:tc>
          <w:tcPr>
            <w:tcW w:w="625" w:type="pct"/>
          </w:tcPr>
          <w:p w14:paraId="2E2D3837" w14:textId="6399042C" w:rsidR="00833C0F" w:rsidRPr="001B1F5F" w:rsidRDefault="00833C0F" w:rsidP="00833C0F">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rPr>
              <w:t>137</w:t>
            </w:r>
          </w:p>
        </w:tc>
      </w:tr>
      <w:tr w:rsidR="00833C0F" w:rsidRPr="001B1F5F" w14:paraId="419C9904" w14:textId="77777777" w:rsidTr="00833C0F">
        <w:tc>
          <w:tcPr>
            <w:tcW w:w="467" w:type="pct"/>
          </w:tcPr>
          <w:p w14:paraId="7EA2C242" w14:textId="77777777" w:rsidR="00833C0F" w:rsidRPr="001B1F5F" w:rsidRDefault="00833C0F" w:rsidP="00833C0F">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rPr>
              <w:t>3.</w:t>
            </w:r>
          </w:p>
        </w:tc>
        <w:tc>
          <w:tcPr>
            <w:tcW w:w="3908" w:type="pct"/>
          </w:tcPr>
          <w:p w14:paraId="45036D3D" w14:textId="2ABF679F" w:rsidR="00833C0F" w:rsidRPr="001B1F5F" w:rsidRDefault="00833C0F" w:rsidP="00833C0F">
            <w:pPr>
              <w:pStyle w:val="NoSpacing"/>
              <w:rPr>
                <w:rFonts w:asciiTheme="minorHAnsi" w:hAnsiTheme="minorHAnsi" w:cstheme="minorHAnsi"/>
                <w:sz w:val="24"/>
                <w:szCs w:val="24"/>
              </w:rPr>
            </w:pPr>
            <w:r w:rsidRPr="001B1F5F">
              <w:rPr>
                <w:rFonts w:asciiTheme="minorHAnsi" w:hAnsiTheme="minorHAnsi" w:cstheme="minorHAnsi"/>
                <w:sz w:val="24"/>
                <w:szCs w:val="24"/>
                <w:lang w:val="en-ID"/>
              </w:rPr>
              <w:t>Companies with negative net cash flow from operating activities</w:t>
            </w:r>
          </w:p>
        </w:tc>
        <w:tc>
          <w:tcPr>
            <w:tcW w:w="625" w:type="pct"/>
          </w:tcPr>
          <w:p w14:paraId="2F82A264" w14:textId="6A031459" w:rsidR="00833C0F" w:rsidRPr="001B1F5F" w:rsidRDefault="00833C0F" w:rsidP="00833C0F">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rPr>
              <w:t>49</w:t>
            </w:r>
          </w:p>
        </w:tc>
      </w:tr>
      <w:tr w:rsidR="00833C0F" w:rsidRPr="001B1F5F" w14:paraId="5EDD79C8" w14:textId="77777777" w:rsidTr="00833C0F">
        <w:tc>
          <w:tcPr>
            <w:tcW w:w="467" w:type="pct"/>
          </w:tcPr>
          <w:p w14:paraId="0361724F" w14:textId="77777777" w:rsidR="00833C0F" w:rsidRPr="001B1F5F" w:rsidRDefault="00833C0F" w:rsidP="00833C0F">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rPr>
              <w:t>4.</w:t>
            </w:r>
          </w:p>
          <w:p w14:paraId="2FA6FB42" w14:textId="3B96D182" w:rsidR="00833C0F" w:rsidRPr="001B1F5F" w:rsidRDefault="00833C0F" w:rsidP="00833C0F">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rPr>
              <w:t>5.</w:t>
            </w:r>
          </w:p>
        </w:tc>
        <w:tc>
          <w:tcPr>
            <w:tcW w:w="3908" w:type="pct"/>
          </w:tcPr>
          <w:p w14:paraId="45E28247" w14:textId="6B4CBB20" w:rsidR="00833C0F" w:rsidRPr="001B1F5F" w:rsidRDefault="00833C0F" w:rsidP="00833C0F">
            <w:pPr>
              <w:pStyle w:val="NoSpacing"/>
              <w:rPr>
                <w:rFonts w:asciiTheme="minorHAnsi" w:hAnsiTheme="minorHAnsi" w:cstheme="minorHAnsi"/>
                <w:sz w:val="24"/>
                <w:szCs w:val="24"/>
              </w:rPr>
            </w:pPr>
            <w:r w:rsidRPr="001B1F5F">
              <w:rPr>
                <w:rFonts w:asciiTheme="minorHAnsi" w:hAnsiTheme="minorHAnsi" w:cstheme="minorHAnsi"/>
                <w:sz w:val="24"/>
                <w:szCs w:val="24"/>
              </w:rPr>
              <w:t>Companies without complete data</w:t>
            </w:r>
          </w:p>
          <w:p w14:paraId="3401CD6C" w14:textId="5D62DBCD" w:rsidR="00833C0F" w:rsidRPr="001B1F5F" w:rsidRDefault="007A7022" w:rsidP="007A7022">
            <w:pPr>
              <w:pStyle w:val="NoSpacing"/>
              <w:rPr>
                <w:rFonts w:asciiTheme="minorHAnsi" w:hAnsiTheme="minorHAnsi" w:cstheme="minorHAnsi"/>
                <w:sz w:val="24"/>
                <w:szCs w:val="24"/>
              </w:rPr>
            </w:pPr>
            <w:r w:rsidRPr="001B1F5F">
              <w:rPr>
                <w:rFonts w:asciiTheme="minorHAnsi" w:hAnsiTheme="minorHAnsi" w:cstheme="minorHAnsi"/>
                <w:sz w:val="24"/>
                <w:szCs w:val="24"/>
              </w:rPr>
              <w:t>Total sample</w:t>
            </w:r>
          </w:p>
        </w:tc>
        <w:tc>
          <w:tcPr>
            <w:tcW w:w="625" w:type="pct"/>
          </w:tcPr>
          <w:p w14:paraId="25222905" w14:textId="77777777" w:rsidR="00833C0F" w:rsidRPr="001B1F5F" w:rsidRDefault="007A7022" w:rsidP="00833C0F">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rPr>
              <w:t>14</w:t>
            </w:r>
          </w:p>
          <w:p w14:paraId="443275C9" w14:textId="6959F66B" w:rsidR="007A7022" w:rsidRPr="001B1F5F" w:rsidRDefault="007A7022" w:rsidP="00833C0F">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rPr>
              <w:t>33</w:t>
            </w:r>
          </w:p>
        </w:tc>
      </w:tr>
      <w:tr w:rsidR="00833C0F" w:rsidRPr="001B1F5F" w14:paraId="720B77EF" w14:textId="77777777" w:rsidTr="00833C0F">
        <w:tc>
          <w:tcPr>
            <w:tcW w:w="467" w:type="pct"/>
            <w:tcBorders>
              <w:bottom w:val="single" w:sz="4" w:space="0" w:color="auto"/>
            </w:tcBorders>
          </w:tcPr>
          <w:p w14:paraId="7195DEB8" w14:textId="5026BA3F" w:rsidR="00833C0F" w:rsidRPr="001B1F5F" w:rsidRDefault="00833C0F" w:rsidP="00833C0F">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rPr>
              <w:t>6.</w:t>
            </w:r>
          </w:p>
        </w:tc>
        <w:tc>
          <w:tcPr>
            <w:tcW w:w="3908" w:type="pct"/>
            <w:tcBorders>
              <w:bottom w:val="single" w:sz="4" w:space="0" w:color="auto"/>
            </w:tcBorders>
          </w:tcPr>
          <w:p w14:paraId="1D8E3CB8" w14:textId="1FB18A87" w:rsidR="00833C0F" w:rsidRPr="001B1F5F" w:rsidRDefault="007A7022" w:rsidP="007A7022">
            <w:pPr>
              <w:pStyle w:val="NoSpacing"/>
              <w:rPr>
                <w:rFonts w:asciiTheme="minorHAnsi" w:hAnsiTheme="minorHAnsi" w:cstheme="minorHAnsi"/>
                <w:sz w:val="24"/>
                <w:szCs w:val="24"/>
              </w:rPr>
            </w:pPr>
            <w:r w:rsidRPr="001B1F5F">
              <w:rPr>
                <w:rFonts w:asciiTheme="minorHAnsi" w:hAnsiTheme="minorHAnsi" w:cstheme="minorHAnsi"/>
                <w:sz w:val="24"/>
                <w:szCs w:val="24"/>
                <w:lang w:val="en-ID"/>
              </w:rPr>
              <w:t>Total research data (33 companies x 10 years)</w:t>
            </w:r>
          </w:p>
        </w:tc>
        <w:tc>
          <w:tcPr>
            <w:tcW w:w="625" w:type="pct"/>
            <w:tcBorders>
              <w:bottom w:val="single" w:sz="4" w:space="0" w:color="auto"/>
            </w:tcBorders>
          </w:tcPr>
          <w:p w14:paraId="74BC2CB1" w14:textId="77777777" w:rsidR="00833C0F" w:rsidRPr="001B1F5F" w:rsidRDefault="00833C0F" w:rsidP="00833C0F">
            <w:pPr>
              <w:pStyle w:val="NoSpacing"/>
              <w:ind w:firstLine="720"/>
              <w:jc w:val="both"/>
              <w:rPr>
                <w:rFonts w:asciiTheme="minorHAnsi" w:hAnsiTheme="minorHAnsi" w:cstheme="minorHAnsi"/>
                <w:sz w:val="24"/>
                <w:szCs w:val="24"/>
              </w:rPr>
            </w:pPr>
            <w:r w:rsidRPr="001B1F5F">
              <w:rPr>
                <w:rFonts w:asciiTheme="minorHAnsi" w:hAnsiTheme="minorHAnsi" w:cstheme="minorHAnsi"/>
                <w:sz w:val="24"/>
                <w:szCs w:val="24"/>
              </w:rPr>
              <w:t>330</w:t>
            </w:r>
          </w:p>
        </w:tc>
      </w:tr>
    </w:tbl>
    <w:p w14:paraId="7982E837" w14:textId="32DE78DC" w:rsidR="00833C0F" w:rsidRPr="001B1F5F" w:rsidRDefault="007A7022" w:rsidP="007A7022">
      <w:pPr>
        <w:pStyle w:val="NoSpacing"/>
        <w:jc w:val="both"/>
        <w:rPr>
          <w:rFonts w:asciiTheme="minorHAnsi" w:hAnsiTheme="minorHAnsi" w:cstheme="minorHAnsi"/>
          <w:sz w:val="24"/>
          <w:szCs w:val="24"/>
        </w:rPr>
      </w:pPr>
      <w:r w:rsidRPr="001B1F5F">
        <w:rPr>
          <w:rFonts w:asciiTheme="minorHAnsi" w:hAnsiTheme="minorHAnsi" w:cstheme="minorHAnsi"/>
          <w:sz w:val="24"/>
          <w:szCs w:val="24"/>
        </w:rPr>
        <w:t>Source: Author’s calculation</w:t>
      </w:r>
    </w:p>
    <w:p w14:paraId="7D2AC5C1" w14:textId="77777777" w:rsidR="007A7022" w:rsidRPr="001B1F5F" w:rsidRDefault="007A7022" w:rsidP="007A7022">
      <w:pPr>
        <w:pStyle w:val="NoSpacing"/>
        <w:jc w:val="both"/>
        <w:rPr>
          <w:rFonts w:asciiTheme="minorHAnsi" w:hAnsiTheme="minorHAnsi" w:cstheme="minorHAnsi"/>
          <w:sz w:val="24"/>
          <w:szCs w:val="24"/>
        </w:rPr>
      </w:pPr>
    </w:p>
    <w:p w14:paraId="044DC19D" w14:textId="3B78936C" w:rsidR="007A7022" w:rsidRPr="001B1F5F" w:rsidRDefault="007A7022" w:rsidP="007A7022">
      <w:pPr>
        <w:pStyle w:val="NoSpacing"/>
        <w:jc w:val="both"/>
        <w:rPr>
          <w:rFonts w:asciiTheme="minorHAnsi" w:hAnsiTheme="minorHAnsi" w:cstheme="minorHAnsi"/>
          <w:sz w:val="24"/>
          <w:szCs w:val="24"/>
        </w:rPr>
      </w:pPr>
      <w:r w:rsidRPr="001B1F5F">
        <w:rPr>
          <w:rFonts w:asciiTheme="minorHAnsi" w:hAnsiTheme="minorHAnsi" w:cstheme="minorHAnsi"/>
          <w:sz w:val="24"/>
          <w:szCs w:val="24"/>
        </w:rPr>
        <w:t>Data Collection Method</w:t>
      </w:r>
    </w:p>
    <w:p w14:paraId="76AB37FE" w14:textId="6E7E8999" w:rsidR="007A7022" w:rsidRPr="001B1F5F" w:rsidRDefault="001F57AE" w:rsidP="00E407CE">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The information provided by companies listed on the Indonesia Stock Exchange (IDX) is the source of the data used in this study. The technique utilized to obtain the necessary data is a literature study, which involves a thorough review of relevant prior research publications, books, and articles related to the research topic. </w:t>
      </w:r>
      <w:r w:rsidR="007A7022" w:rsidRPr="001B1F5F">
        <w:rPr>
          <w:rFonts w:asciiTheme="minorHAnsi" w:hAnsiTheme="minorHAnsi" w:cstheme="minorHAnsi"/>
          <w:sz w:val="24"/>
          <w:szCs w:val="24"/>
          <w:lang w:val="en-ID"/>
        </w:rPr>
        <w:t>These data sources were obtained from the library and online scientific journal databases. Furthermore, data was also collected through documentation or recording methods, particularly to record financial information available on the company's official website</w:t>
      </w:r>
      <w:r w:rsidRPr="001B1F5F">
        <w:rPr>
          <w:rFonts w:asciiTheme="minorHAnsi" w:hAnsiTheme="minorHAnsi" w:cstheme="minorHAnsi"/>
          <w:sz w:val="24"/>
          <w:szCs w:val="24"/>
          <w:lang w:val="en-ID"/>
        </w:rPr>
        <w:t>.</w:t>
      </w:r>
    </w:p>
    <w:p w14:paraId="2B6617E7" w14:textId="77777777" w:rsidR="007A7022" w:rsidRPr="001B1F5F" w:rsidRDefault="007A7022" w:rsidP="007A7022">
      <w:pPr>
        <w:pStyle w:val="NoSpacing"/>
        <w:jc w:val="both"/>
        <w:rPr>
          <w:rFonts w:asciiTheme="minorHAnsi" w:hAnsiTheme="minorHAnsi" w:cstheme="minorHAnsi"/>
          <w:sz w:val="24"/>
          <w:szCs w:val="24"/>
          <w:lang w:val="en-ID"/>
        </w:rPr>
      </w:pPr>
    </w:p>
    <w:p w14:paraId="61308680" w14:textId="6BC3228B" w:rsidR="00E407CE" w:rsidRPr="001B1F5F" w:rsidRDefault="007A7022" w:rsidP="007A7022">
      <w:pPr>
        <w:pStyle w:val="NoSpacing"/>
        <w:jc w:val="both"/>
        <w:rPr>
          <w:rFonts w:asciiTheme="minorHAnsi" w:hAnsiTheme="minorHAnsi" w:cstheme="minorHAnsi"/>
          <w:sz w:val="24"/>
          <w:szCs w:val="24"/>
        </w:rPr>
      </w:pPr>
      <w:r w:rsidRPr="001B1F5F">
        <w:rPr>
          <w:rFonts w:asciiTheme="minorHAnsi" w:hAnsiTheme="minorHAnsi" w:cstheme="minorHAnsi"/>
          <w:sz w:val="24"/>
          <w:szCs w:val="24"/>
        </w:rPr>
        <w:t>Operational Definitions of Variables</w:t>
      </w:r>
    </w:p>
    <w:p w14:paraId="01F50BEC" w14:textId="1DD965DA" w:rsidR="007A7022" w:rsidRPr="001B1F5F" w:rsidRDefault="007A7022" w:rsidP="007A7022">
      <w:pPr>
        <w:pStyle w:val="NoSpacing"/>
        <w:jc w:val="both"/>
        <w:rPr>
          <w:rFonts w:asciiTheme="minorHAnsi" w:hAnsiTheme="minorHAnsi" w:cstheme="minorHAnsi"/>
          <w:sz w:val="24"/>
          <w:szCs w:val="24"/>
        </w:rPr>
      </w:pPr>
      <w:r w:rsidRPr="001B1F5F">
        <w:rPr>
          <w:rFonts w:asciiTheme="minorHAnsi" w:hAnsiTheme="minorHAnsi" w:cstheme="minorHAnsi"/>
          <w:sz w:val="24"/>
          <w:szCs w:val="24"/>
        </w:rPr>
        <w:t>Dependent Variable</w:t>
      </w:r>
    </w:p>
    <w:p w14:paraId="75376974" w14:textId="5C65231B" w:rsidR="007A7022" w:rsidRPr="001B1F5F" w:rsidRDefault="007A7022" w:rsidP="00A0110A">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The dependent variable in this research is </w:t>
      </w:r>
      <w:r w:rsidR="00AF10E3">
        <w:rPr>
          <w:rFonts w:asciiTheme="minorHAnsi" w:hAnsiTheme="minorHAnsi" w:cstheme="minorHAnsi"/>
          <w:sz w:val="24"/>
          <w:szCs w:val="24"/>
          <w:lang w:val="en-ID"/>
        </w:rPr>
        <w:t xml:space="preserve">conforming </w:t>
      </w:r>
      <w:r w:rsidRPr="001B1F5F">
        <w:rPr>
          <w:rFonts w:asciiTheme="minorHAnsi" w:hAnsiTheme="minorHAnsi" w:cstheme="minorHAnsi"/>
          <w:sz w:val="24"/>
          <w:szCs w:val="24"/>
          <w:lang w:val="en-ID"/>
        </w:rPr>
        <w:t xml:space="preserve">tax avoidance, as proposed by Hanlon &amp; </w:t>
      </w:r>
      <w:proofErr w:type="spellStart"/>
      <w:r w:rsidRPr="001B1F5F">
        <w:rPr>
          <w:rFonts w:asciiTheme="minorHAnsi" w:hAnsiTheme="minorHAnsi" w:cstheme="minorHAnsi"/>
          <w:sz w:val="24"/>
          <w:szCs w:val="24"/>
          <w:lang w:val="en-ID"/>
        </w:rPr>
        <w:t>Heitzman</w:t>
      </w:r>
      <w:proofErr w:type="spellEnd"/>
      <w:r w:rsidRPr="001B1F5F">
        <w:rPr>
          <w:rFonts w:asciiTheme="minorHAnsi" w:hAnsiTheme="minorHAnsi" w:cstheme="minorHAnsi"/>
          <w:sz w:val="24"/>
          <w:szCs w:val="24"/>
          <w:lang w:val="en-ID"/>
        </w:rPr>
        <w:t xml:space="preserve"> (2010), where the reduction in income for tax calculation purposes also diminishes commercial income, measured by the tax over operating cash flows ratio (TAXOCF). T</w:t>
      </w:r>
      <w:r w:rsidR="0099392E">
        <w:rPr>
          <w:rFonts w:asciiTheme="minorHAnsi" w:hAnsiTheme="minorHAnsi" w:cstheme="minorHAnsi"/>
          <w:sz w:val="24"/>
          <w:szCs w:val="24"/>
          <w:lang w:val="en-ID"/>
        </w:rPr>
        <w:t xml:space="preserve">he use of this proxy </w:t>
      </w:r>
      <w:r w:rsidRPr="001B1F5F">
        <w:rPr>
          <w:rFonts w:asciiTheme="minorHAnsi" w:hAnsiTheme="minorHAnsi" w:cstheme="minorHAnsi"/>
          <w:sz w:val="24"/>
          <w:szCs w:val="24"/>
          <w:lang w:val="en-ID"/>
        </w:rPr>
        <w:t xml:space="preserve">refers to the study by </w:t>
      </w:r>
      <w:r w:rsidR="006B7AD1">
        <w:rPr>
          <w:rFonts w:asciiTheme="minorHAnsi" w:hAnsiTheme="minorHAnsi" w:cstheme="minorHAnsi"/>
          <w:sz w:val="24"/>
          <w:szCs w:val="24"/>
          <w:lang w:val="en-ID"/>
        </w:rPr>
        <w:fldChar w:fldCharType="begin"/>
      </w:r>
      <w:r w:rsidR="006B7AD1">
        <w:rPr>
          <w:rFonts w:asciiTheme="minorHAnsi" w:hAnsiTheme="minorHAnsi" w:cstheme="minorHAnsi"/>
          <w:sz w:val="24"/>
          <w:szCs w:val="24"/>
          <w:lang w:val="en-ID"/>
        </w:rPr>
        <w:instrText xml:space="preserve"> ADDIN ZOTERO_ITEM CSL_CITATION {"citationID":"YHPKtzI2","properties":{"formattedCitation":"(Salihu, n.d.)","plainCitation":"(Salihu, n.d.)","noteIndex":0},"citationItems":[{"id":717,"uris":["http://zotero.org/users/local/1kuimZT3/items/SBF9IZYI"],"itemData":{"id":717,"type":"article-journal","abstract":"The prevalence of tax avoidance practices has necessitated several efforts in understanding the determinants of the menace. While these efforts are highly commendable, the studies so far lack the proper construct for measuring the term ‘corporate tax avoidance’. This has posed some limitations to the interpretation of research findings in this respect. To this end, Hanlon and Heitzman (2010) proposed a measure for the conforming tax avoidance, which has not receivedany empirical investigation. The objective of this study, therefore, is to provide empirical evidence for or against the proposed measure. To achieve this objective, three established measures were compared with the proposed measure using the annual reports of the Malaysian top 100 companies based on FTSE tradable index. The results of the ANOVA and post hoc test show the proposed measure to be statistically and significantly different at 5%. The finding of the study is of great relevance for proper interpretation of research findings, especially within the context of the study.","language":"en","source":"Zotero","title":"MEASURES OF CORPORATE TAX AVOIDANCE: EMPIRICAL EVIDENCE FROM AN EMERGING ECONOMY","author":[{"family":"Salihu","given":"Ibrahim Aramide"}]}}],"schema":"https://github.com/citation-style-language/schema/raw/master/csl-citation.json"} </w:instrText>
      </w:r>
      <w:r w:rsidR="006B7AD1">
        <w:rPr>
          <w:rFonts w:asciiTheme="minorHAnsi" w:hAnsiTheme="minorHAnsi" w:cstheme="minorHAnsi"/>
          <w:sz w:val="24"/>
          <w:szCs w:val="24"/>
          <w:lang w:val="en-ID"/>
        </w:rPr>
        <w:fldChar w:fldCharType="separate"/>
      </w:r>
      <w:r w:rsidR="006B7AD1" w:rsidRPr="006B7AD1">
        <w:rPr>
          <w:rFonts w:cs="Calibri"/>
          <w:sz w:val="24"/>
        </w:rPr>
        <w:t>Salihu</w:t>
      </w:r>
      <w:r w:rsidR="006B7AD1">
        <w:rPr>
          <w:rFonts w:cs="Calibri"/>
          <w:sz w:val="24"/>
        </w:rPr>
        <w:t xml:space="preserve"> </w:t>
      </w:r>
      <w:r w:rsidR="006B7AD1">
        <w:rPr>
          <w:rFonts w:cs="Calibri"/>
          <w:i/>
          <w:iCs/>
          <w:sz w:val="24"/>
        </w:rPr>
        <w:t>et al.</w:t>
      </w:r>
      <w:r w:rsidR="006B7AD1">
        <w:rPr>
          <w:rFonts w:cs="Calibri"/>
          <w:sz w:val="24"/>
        </w:rPr>
        <w:t xml:space="preserve"> (2013).</w:t>
      </w:r>
      <w:r w:rsidR="006B7AD1" w:rsidRPr="006B7AD1">
        <w:rPr>
          <w:rFonts w:cs="Calibri"/>
          <w:sz w:val="24"/>
        </w:rPr>
        <w:t xml:space="preserve"> </w:t>
      </w:r>
      <w:r w:rsidR="006B7AD1">
        <w:rPr>
          <w:rFonts w:asciiTheme="minorHAnsi" w:hAnsiTheme="minorHAnsi" w:cstheme="minorHAnsi"/>
          <w:sz w:val="24"/>
          <w:szCs w:val="24"/>
          <w:lang w:val="en-ID"/>
        </w:rPr>
        <w:fldChar w:fldCharType="end"/>
      </w:r>
      <w:r w:rsidRPr="001B1F5F">
        <w:rPr>
          <w:rFonts w:asciiTheme="minorHAnsi" w:hAnsiTheme="minorHAnsi" w:cstheme="minorHAnsi"/>
          <w:sz w:val="24"/>
          <w:szCs w:val="24"/>
          <w:lang w:val="en-ID"/>
        </w:rPr>
        <w:t xml:space="preserve">Therefore, </w:t>
      </w:r>
      <w:r w:rsidR="0099392E">
        <w:rPr>
          <w:rFonts w:asciiTheme="minorHAnsi" w:hAnsiTheme="minorHAnsi" w:cstheme="minorHAnsi"/>
          <w:sz w:val="24"/>
          <w:szCs w:val="24"/>
          <w:lang w:val="en-ID"/>
        </w:rPr>
        <w:t xml:space="preserve">conforming </w:t>
      </w:r>
      <w:r w:rsidRPr="001B1F5F">
        <w:rPr>
          <w:rFonts w:asciiTheme="minorHAnsi" w:hAnsiTheme="minorHAnsi" w:cstheme="minorHAnsi"/>
          <w:sz w:val="24"/>
          <w:szCs w:val="24"/>
          <w:lang w:val="en-ID"/>
        </w:rPr>
        <w:t>tax avoidance in this research is:</w:t>
      </w:r>
    </w:p>
    <w:p w14:paraId="073473FF" w14:textId="1F8E8B23" w:rsidR="007A7022" w:rsidRPr="001B1F5F" w:rsidRDefault="007A7022" w:rsidP="007A7022">
      <w:pPr>
        <w:pStyle w:val="NoSpacing"/>
        <w:jc w:val="both"/>
        <w:rPr>
          <w:rFonts w:asciiTheme="minorHAnsi" w:hAnsiTheme="minorHAnsi" w:cstheme="minorHAnsi"/>
          <w:sz w:val="24"/>
          <w:szCs w:val="24"/>
        </w:rPr>
      </w:pPr>
      <m:oMathPara>
        <m:oMath>
          <m:r>
            <m:rPr>
              <m:sty m:val="bi"/>
            </m:rPr>
            <w:rPr>
              <w:rFonts w:ascii="Cambria Math" w:hAnsi="Cambria Math" w:cstheme="minorHAnsi"/>
              <w:sz w:val="24"/>
              <w:szCs w:val="24"/>
            </w:rPr>
            <m:t xml:space="preserve">TAXOCF= </m:t>
          </m:r>
          <m:f>
            <m:fPr>
              <m:ctrlPr>
                <w:rPr>
                  <w:rFonts w:ascii="Cambria Math" w:hAnsi="Cambria Math" w:cstheme="minorHAnsi"/>
                  <w:b/>
                  <w:i/>
                  <w:sz w:val="24"/>
                  <w:szCs w:val="24"/>
                </w:rPr>
              </m:ctrlPr>
            </m:fPr>
            <m:num>
              <m:r>
                <m:rPr>
                  <m:sty m:val="bi"/>
                </m:rPr>
                <w:rPr>
                  <w:rFonts w:ascii="Cambria Math" w:hAnsi="Cambria Math" w:cstheme="minorHAnsi"/>
                  <w:sz w:val="24"/>
                  <w:szCs w:val="24"/>
                </w:rPr>
                <m:t>Cash Tax Paid</m:t>
              </m:r>
            </m:num>
            <m:den>
              <m:r>
                <m:rPr>
                  <m:sty m:val="bi"/>
                </m:rPr>
                <w:rPr>
                  <w:rFonts w:ascii="Cambria Math" w:hAnsi="Cambria Math" w:cstheme="minorHAnsi"/>
                  <w:sz w:val="24"/>
                  <w:szCs w:val="24"/>
                </w:rPr>
                <m:t>Operating Cash Flow</m:t>
              </m:r>
            </m:den>
          </m:f>
        </m:oMath>
      </m:oMathPara>
    </w:p>
    <w:p w14:paraId="203620A3" w14:textId="77777777" w:rsidR="007A7022" w:rsidRPr="001B1F5F" w:rsidRDefault="007A7022" w:rsidP="007A7022">
      <w:pPr>
        <w:pStyle w:val="NoSpacing"/>
        <w:jc w:val="both"/>
        <w:rPr>
          <w:rFonts w:asciiTheme="minorHAnsi" w:hAnsiTheme="minorHAnsi" w:cstheme="minorHAnsi"/>
          <w:sz w:val="24"/>
          <w:szCs w:val="24"/>
        </w:rPr>
      </w:pPr>
    </w:p>
    <w:p w14:paraId="7C8652CC" w14:textId="77777777" w:rsidR="00A0110A" w:rsidRDefault="00A0110A" w:rsidP="007A7022">
      <w:pPr>
        <w:pStyle w:val="NoSpacing"/>
        <w:jc w:val="both"/>
        <w:rPr>
          <w:rFonts w:asciiTheme="minorHAnsi" w:hAnsiTheme="minorHAnsi" w:cstheme="minorHAnsi"/>
          <w:sz w:val="24"/>
          <w:szCs w:val="24"/>
        </w:rPr>
      </w:pPr>
    </w:p>
    <w:p w14:paraId="0ED003DE" w14:textId="77777777" w:rsidR="00A0110A" w:rsidRDefault="00A0110A" w:rsidP="007A7022">
      <w:pPr>
        <w:pStyle w:val="NoSpacing"/>
        <w:jc w:val="both"/>
        <w:rPr>
          <w:rFonts w:asciiTheme="minorHAnsi" w:hAnsiTheme="minorHAnsi" w:cstheme="minorHAnsi"/>
          <w:sz w:val="24"/>
          <w:szCs w:val="24"/>
        </w:rPr>
      </w:pPr>
    </w:p>
    <w:p w14:paraId="404F9B64" w14:textId="48235711" w:rsidR="007A7022" w:rsidRPr="001B1F5F" w:rsidRDefault="007A7022" w:rsidP="007A7022">
      <w:pPr>
        <w:pStyle w:val="NoSpacing"/>
        <w:jc w:val="both"/>
        <w:rPr>
          <w:rFonts w:asciiTheme="minorHAnsi" w:hAnsiTheme="minorHAnsi" w:cstheme="minorHAnsi"/>
          <w:sz w:val="24"/>
          <w:szCs w:val="24"/>
        </w:rPr>
      </w:pPr>
      <w:r w:rsidRPr="001B1F5F">
        <w:rPr>
          <w:rFonts w:asciiTheme="minorHAnsi" w:hAnsiTheme="minorHAnsi" w:cstheme="minorHAnsi"/>
          <w:sz w:val="24"/>
          <w:szCs w:val="24"/>
        </w:rPr>
        <w:t>Independent Variables</w:t>
      </w:r>
    </w:p>
    <w:p w14:paraId="45F25ADB" w14:textId="01D29C7E" w:rsidR="007A7022" w:rsidRPr="001B1F5F" w:rsidRDefault="007A7022" w:rsidP="007A7022">
      <w:pPr>
        <w:pStyle w:val="NoSpacing"/>
        <w:jc w:val="both"/>
        <w:rPr>
          <w:rFonts w:asciiTheme="minorHAnsi" w:hAnsiTheme="minorHAnsi" w:cstheme="minorHAnsi"/>
          <w:sz w:val="24"/>
          <w:szCs w:val="24"/>
        </w:rPr>
      </w:pPr>
      <w:r w:rsidRPr="001B1F5F">
        <w:rPr>
          <w:rFonts w:asciiTheme="minorHAnsi" w:hAnsiTheme="minorHAnsi" w:cstheme="minorHAnsi"/>
          <w:sz w:val="24"/>
          <w:szCs w:val="24"/>
        </w:rPr>
        <w:t>Tax Enforcement</w:t>
      </w:r>
    </w:p>
    <w:p w14:paraId="5AAA6329" w14:textId="123BDD61" w:rsidR="007A7022" w:rsidRPr="001B1F5F" w:rsidRDefault="007A7022" w:rsidP="00A0110A">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Law enforcement is deemed to impact company </w:t>
      </w:r>
      <w:proofErr w:type="spellStart"/>
      <w:r w:rsidRPr="001B1F5F">
        <w:rPr>
          <w:rFonts w:asciiTheme="minorHAnsi" w:hAnsiTheme="minorHAnsi" w:cstheme="minorHAnsi"/>
          <w:sz w:val="24"/>
          <w:szCs w:val="24"/>
          <w:lang w:val="en-ID"/>
        </w:rPr>
        <w:t>behavior</w:t>
      </w:r>
      <w:proofErr w:type="spellEnd"/>
      <w:r w:rsidRPr="001B1F5F">
        <w:rPr>
          <w:rFonts w:asciiTheme="minorHAnsi" w:hAnsiTheme="minorHAnsi" w:cstheme="minorHAnsi"/>
          <w:sz w:val="24"/>
          <w:szCs w:val="24"/>
          <w:lang w:val="en-ID"/>
        </w:rPr>
        <w:t xml:space="preserve"> because, in line with </w:t>
      </w:r>
      <w:r w:rsidR="00C5090B">
        <w:rPr>
          <w:rFonts w:asciiTheme="minorHAnsi" w:hAnsiTheme="minorHAnsi" w:cstheme="minorHAnsi"/>
          <w:sz w:val="24"/>
          <w:szCs w:val="24"/>
          <w:lang w:val="en-ID"/>
        </w:rPr>
        <w:t>neo-institutional</w:t>
      </w:r>
      <w:r w:rsidRPr="001B1F5F">
        <w:rPr>
          <w:rFonts w:asciiTheme="minorHAnsi" w:hAnsiTheme="minorHAnsi" w:cstheme="minorHAnsi"/>
          <w:sz w:val="24"/>
          <w:szCs w:val="24"/>
          <w:lang w:val="en-ID"/>
        </w:rPr>
        <w:t xml:space="preserve"> economic theory, companies tend to reduce aggressive tax planning if there is a threat of legal or social sanctions. One form of law enforcement conducted by the Directorate General of Taxation (D</w:t>
      </w:r>
      <w:r w:rsidR="00A0110A">
        <w:rPr>
          <w:rFonts w:asciiTheme="minorHAnsi" w:hAnsiTheme="minorHAnsi" w:cstheme="minorHAnsi"/>
          <w:sz w:val="24"/>
          <w:szCs w:val="24"/>
          <w:lang w:val="en-ID"/>
        </w:rPr>
        <w:t>GT</w:t>
      </w:r>
      <w:r w:rsidRPr="001B1F5F">
        <w:rPr>
          <w:rFonts w:asciiTheme="minorHAnsi" w:hAnsiTheme="minorHAnsi" w:cstheme="minorHAnsi"/>
          <w:sz w:val="24"/>
          <w:szCs w:val="24"/>
          <w:lang w:val="en-ID"/>
        </w:rPr>
        <w:t xml:space="preserve">) is through the audit process, ultimately leading to tax assessment letters. In this study, </w:t>
      </w:r>
      <w:r w:rsidRPr="001B1F5F">
        <w:rPr>
          <w:rFonts w:asciiTheme="minorHAnsi" w:hAnsiTheme="minorHAnsi" w:cstheme="minorHAnsi"/>
          <w:sz w:val="24"/>
          <w:szCs w:val="24"/>
          <w:lang w:val="en-ID"/>
        </w:rPr>
        <w:lastRenderedPageBreak/>
        <w:t>law enforcement measurement is conducted through the amount of tax value assessed that companies are required to pay in the relevant year. The value of these tax assessments is calculated using the natural logarithm of the principal, fines, and sanctions listed in the Tax Underpayment Assessment Letter</w:t>
      </w:r>
      <w:r w:rsidR="006B7AD1">
        <w:rPr>
          <w:rFonts w:asciiTheme="minorHAnsi" w:hAnsiTheme="minorHAnsi" w:cstheme="minorHAnsi"/>
          <w:sz w:val="24"/>
          <w:szCs w:val="24"/>
          <w:lang w:val="en-ID"/>
        </w:rPr>
        <w:t xml:space="preserve">, </w:t>
      </w:r>
      <w:r w:rsidRPr="001B1F5F">
        <w:rPr>
          <w:rFonts w:asciiTheme="minorHAnsi" w:hAnsiTheme="minorHAnsi" w:cstheme="minorHAnsi"/>
          <w:sz w:val="24"/>
          <w:szCs w:val="24"/>
          <w:lang w:val="en-ID"/>
        </w:rPr>
        <w:t>Additional Tax Underpayment Assessment Letter</w:t>
      </w:r>
      <w:r w:rsidR="006B7AD1">
        <w:rPr>
          <w:rFonts w:asciiTheme="minorHAnsi" w:hAnsiTheme="minorHAnsi" w:cstheme="minorHAnsi"/>
          <w:sz w:val="24"/>
          <w:szCs w:val="24"/>
          <w:lang w:val="en-ID"/>
        </w:rPr>
        <w:t xml:space="preserve">, </w:t>
      </w:r>
      <w:r w:rsidRPr="001B1F5F">
        <w:rPr>
          <w:rFonts w:asciiTheme="minorHAnsi" w:hAnsiTheme="minorHAnsi" w:cstheme="minorHAnsi"/>
          <w:sz w:val="24"/>
          <w:szCs w:val="24"/>
          <w:lang w:val="en-ID"/>
        </w:rPr>
        <w:t xml:space="preserve">and Tax Bill resulting from tax audits. This measurement refers to the same Tax Enforcement (TAXFORCE) proxy used in the study by </w:t>
      </w:r>
      <w:proofErr w:type="spellStart"/>
      <w:r w:rsidRPr="001B1F5F">
        <w:rPr>
          <w:rFonts w:asciiTheme="minorHAnsi" w:hAnsiTheme="minorHAnsi" w:cstheme="minorHAnsi"/>
          <w:sz w:val="24"/>
          <w:szCs w:val="24"/>
          <w:lang w:val="en-ID"/>
        </w:rPr>
        <w:t>Satyadini</w:t>
      </w:r>
      <w:proofErr w:type="spellEnd"/>
      <w:r w:rsidRPr="001B1F5F">
        <w:rPr>
          <w:rFonts w:asciiTheme="minorHAnsi" w:hAnsiTheme="minorHAnsi" w:cstheme="minorHAnsi"/>
          <w:sz w:val="24"/>
          <w:szCs w:val="24"/>
          <w:lang w:val="en-ID"/>
        </w:rPr>
        <w:t xml:space="preserve"> (2018). </w:t>
      </w:r>
    </w:p>
    <w:p w14:paraId="0311CCBC" w14:textId="77777777" w:rsidR="007A7022" w:rsidRPr="001B1F5F" w:rsidRDefault="007A7022" w:rsidP="007A7022">
      <w:pPr>
        <w:pStyle w:val="ListParagraph"/>
        <w:spacing w:after="0" w:line="360" w:lineRule="auto"/>
        <w:ind w:left="0"/>
        <w:jc w:val="both"/>
        <w:rPr>
          <w:rFonts w:asciiTheme="minorHAnsi" w:eastAsiaTheme="minorEastAsia" w:hAnsiTheme="minorHAnsi" w:cstheme="minorHAnsi"/>
          <w:b/>
          <w:sz w:val="24"/>
          <w:szCs w:val="24"/>
        </w:rPr>
      </w:pPr>
      <m:oMathPara>
        <m:oMath>
          <m:r>
            <m:rPr>
              <m:sty m:val="b"/>
            </m:rPr>
            <w:rPr>
              <w:rFonts w:ascii="Cambria Math" w:hAnsi="Cambria Math" w:cstheme="minorHAnsi"/>
              <w:sz w:val="24"/>
              <w:szCs w:val="24"/>
            </w:rPr>
            <m:t>T</m:t>
          </m:r>
          <m:r>
            <m:rPr>
              <m:sty m:val="bi"/>
            </m:rPr>
            <w:rPr>
              <w:rFonts w:ascii="Cambria Math" w:hAnsi="Cambria Math" w:cstheme="minorHAnsi"/>
              <w:sz w:val="24"/>
              <w:szCs w:val="24"/>
            </w:rPr>
            <m:t xml:space="preserve">AXFORCE=Ln total </m:t>
          </m:r>
          <m:r>
            <m:rPr>
              <m:sty m:val="b"/>
            </m:rPr>
            <w:rPr>
              <w:rFonts w:ascii="Cambria Math" w:hAnsi="Cambria Math" w:cstheme="minorHAnsi"/>
              <w:sz w:val="24"/>
              <w:szCs w:val="24"/>
            </w:rPr>
            <m:t>SKPKB</m:t>
          </m:r>
          <m:r>
            <m:rPr>
              <m:sty m:val="bi"/>
            </m:rPr>
            <w:rPr>
              <w:rFonts w:ascii="Cambria Math" w:hAnsi="Cambria Math" w:cstheme="minorHAnsi"/>
              <w:sz w:val="24"/>
              <w:szCs w:val="24"/>
            </w:rPr>
            <m:t>+</m:t>
          </m:r>
          <m:r>
            <m:rPr>
              <m:sty m:val="b"/>
            </m:rPr>
            <w:rPr>
              <w:rFonts w:ascii="Cambria Math" w:hAnsi="Cambria Math" w:cstheme="minorHAnsi"/>
              <w:sz w:val="24"/>
              <w:szCs w:val="24"/>
            </w:rPr>
            <m:t>SKPKBT</m:t>
          </m:r>
          <m:r>
            <m:rPr>
              <m:sty m:val="bi"/>
            </m:rPr>
            <w:rPr>
              <w:rFonts w:ascii="Cambria Math" w:hAnsi="Cambria Math" w:cstheme="minorHAnsi"/>
              <w:sz w:val="24"/>
              <w:szCs w:val="24"/>
            </w:rPr>
            <m:t>+</m:t>
          </m:r>
          <m:r>
            <m:rPr>
              <m:sty m:val="b"/>
            </m:rPr>
            <w:rPr>
              <w:rFonts w:ascii="Cambria Math" w:hAnsi="Cambria Math" w:cstheme="minorHAnsi"/>
              <w:sz w:val="24"/>
              <w:szCs w:val="24"/>
            </w:rPr>
            <m:t>STP</m:t>
          </m:r>
        </m:oMath>
      </m:oMathPara>
    </w:p>
    <w:p w14:paraId="0D804D24" w14:textId="77777777" w:rsidR="007A7022" w:rsidRPr="001B1F5F" w:rsidRDefault="007A7022" w:rsidP="007A7022">
      <w:pPr>
        <w:pStyle w:val="NoSpacing"/>
        <w:rPr>
          <w:rFonts w:asciiTheme="minorHAnsi" w:hAnsiTheme="minorHAnsi" w:cstheme="minorHAnsi"/>
          <w:sz w:val="24"/>
          <w:szCs w:val="24"/>
          <w:lang w:val="en-ID"/>
        </w:rPr>
      </w:pPr>
    </w:p>
    <w:p w14:paraId="44AF15B6" w14:textId="18C77EBB" w:rsidR="007A7022" w:rsidRPr="001B1F5F" w:rsidRDefault="001D1F14" w:rsidP="007A7022">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Related-party</w:t>
      </w:r>
      <w:r w:rsidR="007A7022" w:rsidRPr="001B1F5F">
        <w:rPr>
          <w:rFonts w:asciiTheme="minorHAnsi" w:hAnsiTheme="minorHAnsi" w:cstheme="minorHAnsi"/>
          <w:sz w:val="24"/>
          <w:szCs w:val="24"/>
          <w:lang w:val="en-ID"/>
        </w:rPr>
        <w:t xml:space="preserve"> Transactions </w:t>
      </w:r>
    </w:p>
    <w:p w14:paraId="0BE0C335" w14:textId="0CCEC7E2" w:rsidR="007A7022" w:rsidRPr="001B1F5F" w:rsidRDefault="007A7022" w:rsidP="00A0110A">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Individuals or entities exerting significant control or influence over another entity are considered to have a related-party relationship. Transactions between parties with a related-party relationship, irrespective of the applied prices, are deemed as related-party transactions. The flexibility in determining transaction prices and terms is often used by parties involved in related-party relationships or operating within a business group to engage in tax planning that can lead to maximum tax savings. In the context of related-party transactions, there is potential for tax avoidance. In this research, sales transactions related to a special relationship are used as the measurement proxy, as per the approach utilized in the study by Park (2018). The variable focused on in this study is related-party transactions, measured by: </w:t>
      </w:r>
    </w:p>
    <w:p w14:paraId="36EFCEB5" w14:textId="77777777" w:rsidR="007A7022" w:rsidRPr="001B1F5F" w:rsidRDefault="007A7022" w:rsidP="007A7022">
      <w:pPr>
        <w:pStyle w:val="ListParagraph"/>
        <w:spacing w:after="0" w:line="360" w:lineRule="auto"/>
        <w:ind w:left="0" w:firstLine="450"/>
        <w:jc w:val="both"/>
        <w:rPr>
          <w:rFonts w:asciiTheme="minorHAnsi" w:hAnsiTheme="minorHAnsi" w:cstheme="minorHAnsi"/>
          <w:color w:val="000000"/>
          <w:sz w:val="24"/>
          <w:szCs w:val="24"/>
        </w:rPr>
      </w:pPr>
      <m:oMathPara>
        <m:oMath>
          <m:r>
            <m:rPr>
              <m:sty m:val="bi"/>
            </m:rPr>
            <w:rPr>
              <w:rFonts w:ascii="Cambria Math" w:hAnsi="Cambria Math" w:cstheme="minorHAnsi"/>
              <w:sz w:val="24"/>
              <w:szCs w:val="24"/>
            </w:rPr>
            <m:t xml:space="preserve">RPTRAN= </m:t>
          </m:r>
          <m:f>
            <m:fPr>
              <m:ctrlPr>
                <w:rPr>
                  <w:rFonts w:ascii="Cambria Math" w:hAnsi="Cambria Math" w:cstheme="minorHAnsi"/>
                  <w:b/>
                  <w:i/>
                  <w:sz w:val="24"/>
                  <w:szCs w:val="24"/>
                </w:rPr>
              </m:ctrlPr>
            </m:fPr>
            <m:num>
              <m:r>
                <m:rPr>
                  <m:sty m:val="bi"/>
                </m:rPr>
                <w:rPr>
                  <w:rFonts w:ascii="Cambria Math" w:hAnsi="Cambria Math" w:cstheme="minorHAnsi"/>
                  <w:sz w:val="24"/>
                  <w:szCs w:val="24"/>
                </w:rPr>
                <m:t>Related Party Transactions</m:t>
              </m:r>
            </m:num>
            <m:den>
              <m:r>
                <m:rPr>
                  <m:sty m:val="bi"/>
                </m:rPr>
                <w:rPr>
                  <w:rFonts w:ascii="Cambria Math" w:hAnsi="Cambria Math" w:cstheme="minorHAnsi"/>
                  <w:sz w:val="24"/>
                  <w:szCs w:val="24"/>
                </w:rPr>
                <m:t>Total Sales</m:t>
              </m:r>
            </m:den>
          </m:f>
        </m:oMath>
      </m:oMathPara>
    </w:p>
    <w:p w14:paraId="1DA4C1E1" w14:textId="0CDFDC44" w:rsidR="00E407CE" w:rsidRPr="001B1F5F" w:rsidRDefault="00E407CE" w:rsidP="007A7022">
      <w:pPr>
        <w:pStyle w:val="NoSpacing"/>
        <w:jc w:val="both"/>
        <w:rPr>
          <w:rFonts w:asciiTheme="minorHAnsi" w:hAnsiTheme="minorHAnsi" w:cstheme="minorHAnsi"/>
          <w:sz w:val="24"/>
          <w:szCs w:val="24"/>
        </w:rPr>
      </w:pPr>
    </w:p>
    <w:p w14:paraId="4FFB2240" w14:textId="77777777" w:rsidR="003A3B64" w:rsidRPr="001B1F5F" w:rsidRDefault="003A3B64" w:rsidP="003A3B64">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External Audit </w:t>
      </w:r>
    </w:p>
    <w:p w14:paraId="705DE2D7" w14:textId="5B1229D0" w:rsidR="003A3B64" w:rsidRPr="001B1F5F" w:rsidRDefault="003A3B64" w:rsidP="00A0110A">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This research will test hypotheses based on the framework of political power theory. Companies with sufficient resources are inclined to utilize the services of external auditors or accounting firms providing tax planning services (auditor-provided tax services) for optimal tax planning. Large accounting firms, including those in the Big Four group with audit and tax planning services, have special capabilities in designing complex transactions that are difficult to minimize tax liabilities. To capture the impact of using external audit on a company's tax avoidance practices, this variable is represented by a dummy variable</w:t>
      </w:r>
      <w:r w:rsidR="006B7AD1">
        <w:rPr>
          <w:rFonts w:asciiTheme="minorHAnsi" w:hAnsiTheme="minorHAnsi" w:cstheme="minorHAnsi"/>
          <w:sz w:val="24"/>
          <w:szCs w:val="24"/>
          <w:lang w:val="en-ID"/>
        </w:rPr>
        <w:t xml:space="preserve"> as used by </w:t>
      </w:r>
      <w:r w:rsidR="006B7AD1" w:rsidRPr="006B7AD1">
        <w:rPr>
          <w:rFonts w:asciiTheme="minorHAnsi" w:hAnsiTheme="minorHAnsi" w:cstheme="minorHAnsi"/>
          <w:sz w:val="24"/>
          <w:szCs w:val="24"/>
        </w:rPr>
        <w:fldChar w:fldCharType="begin"/>
      </w:r>
      <w:r w:rsidR="00081DBF">
        <w:rPr>
          <w:rFonts w:asciiTheme="minorHAnsi" w:hAnsiTheme="minorHAnsi" w:cstheme="minorHAnsi"/>
          <w:sz w:val="24"/>
          <w:szCs w:val="24"/>
        </w:rPr>
        <w:instrText xml:space="preserve"> ADDIN ZOTERO_ITEM CSL_CITATION {"citationID":"p2W7T66O","properties":{"formattedCitation":"(Maraya &amp; Yendrawati, 2016)","plainCitation":"(Maraya &amp; Yendrawati, 2016)","dontUpdate":true,"noteIndex":0},"citationItems":[{"id":383,"uris":["http://zotero.org/users/local/1kuimZT3/items/IQTPENAC"],"itemData":{"id":383,"type":"article-journal","abstract":"This research is based on the rise of tax avoidance phenomenon in Indonesia. The purpose of this study is to analyze the effect of corporate governance and corporate social responsibility disclosure on tax avoidance. Tax avoidance are dependent variable on this research. Tax avoidance is measured by book tax gap (BTG). Independent commissioners, audit quality, institutional ownership, managerial ownership, and corporate social responsibility disclosure are independent variables on this research. The sample of this research was 13 mining companies and Crude Palm Oil (CPO) companies that listed in Indonesia Stock Exchange for the years 2010- 2014. This research used purposive sampling criteria and double linear regression analysis test. The result showed that audit quality and institutional ownership have significant negatively effect. Meanwhile, corporate social responsibility disclosure have significant positevely effect on tax avoidance. The research contributes that corporate social responsibility disclosure need to be considered as an indicator in exposing the practice of tax avoidance especially on mining and CPO companies in Indonesia.Â Penelitian ini dilatarbelakangi oleh maraknya fenomena penghindaran pajak di Indonesia. Penelitian ini bertujuan untuk menganalisis pengaruh tata kelola perusahaan dan pengungkapan tanggungjawab sosial perusahaan terhadap penghindaran pajak. Penghindaran pajak merupakan variabel dependen dalam penelitian ini. Penghindaran pajak diukur dengan book tax gap (BTG). Proporsi komisaris independen, kualitas audit, kepemilikan institusional, kepemilikan manajerial, dan pengungkapan tanggungjawab sosial adalah variabel independen pada penelitian ini. Sampel penelitian ini adalah 13 perusahaan tambang dan perusahaan kelapa sawit yang terdaftar di Bursa Efek Indonesia pada tahun 2010â€“2014. Sampel dipilih dengan menggunakan metode purposive sampling. Analisis data dilakukan dengan uji asumsi klasik dan pengujian hipotesis dengan metode regresi linier berganda. Hasil dari penelitian ini menunjukkan bahwa kualitas audit dan kepemilikan institusional berpengaruh negatif signifikan. Sementara itu, pengungkapan tanggungjawab sosial berpengaruh positif signifikan terhadap penghindaran pajak. Penelitian ini berkontribusi bahwa pengungkapan tanggungjawab sosial perlu dipertimbangkan sebagai salah satu indikator dalam mengungkap praktek penghindaran pajak khususnya pada perusahaan tambang dan kelapa sawit di Indonesia.","container-title":"Jurnal Akuntansi dan Auditing Indonesia","DOI":"10.20885/jaai.vol20.iss2.art7","ISSN":"2528-6528","issue":"2","journalAbbreviation":"J. Akun. Audit. Ind.","language":"en","license":"Copyright (c) 2017 Jurnal Akuntansi dan Auditing Indonesia","note":"number: 2","page":"147-159","source":"journal.uii.ac.id","title":"Pengaruh corporate governance dan corporate social responsibility disclosure terhadap tax avoidance: studi empiris pada perusahaan tambang dan CPO","title-short":"Pengaruh corporate governance dan corporate social responsibility disclosure terhadap tax avoidance","volume":"20","author":[{"family":"Maraya","given":"Amila Dyan"},{"family":"Yendrawati","given":"Reni"}],"issued":{"date-parts":[["2016"]]}}}],"schema":"https://github.com/citation-style-language/schema/raw/master/csl-citation.json"} </w:instrText>
      </w:r>
      <w:r w:rsidR="006B7AD1" w:rsidRPr="006B7AD1">
        <w:rPr>
          <w:rFonts w:asciiTheme="minorHAnsi" w:hAnsiTheme="minorHAnsi" w:cstheme="minorHAnsi"/>
          <w:sz w:val="24"/>
          <w:szCs w:val="24"/>
        </w:rPr>
        <w:fldChar w:fldCharType="separate"/>
      </w:r>
      <w:r w:rsidR="006B7AD1" w:rsidRPr="006B7AD1">
        <w:rPr>
          <w:rFonts w:asciiTheme="minorHAnsi" w:hAnsiTheme="minorHAnsi" w:cstheme="minorHAnsi"/>
          <w:sz w:val="24"/>
        </w:rPr>
        <w:t>Maraya &amp; Yendrawati</w:t>
      </w:r>
      <w:r w:rsidR="006B7AD1">
        <w:rPr>
          <w:rFonts w:asciiTheme="minorHAnsi" w:hAnsiTheme="minorHAnsi" w:cstheme="minorHAnsi"/>
          <w:sz w:val="24"/>
        </w:rPr>
        <w:t xml:space="preserve"> (</w:t>
      </w:r>
      <w:r w:rsidR="006B7AD1" w:rsidRPr="006B7AD1">
        <w:rPr>
          <w:rFonts w:asciiTheme="minorHAnsi" w:hAnsiTheme="minorHAnsi" w:cstheme="minorHAnsi"/>
          <w:sz w:val="24"/>
        </w:rPr>
        <w:t>2016)</w:t>
      </w:r>
      <w:r w:rsidR="006B7AD1" w:rsidRPr="006B7AD1">
        <w:rPr>
          <w:rFonts w:asciiTheme="minorHAnsi" w:hAnsiTheme="minorHAnsi" w:cstheme="minorHAnsi"/>
          <w:sz w:val="24"/>
          <w:szCs w:val="24"/>
        </w:rPr>
        <w:fldChar w:fldCharType="end"/>
      </w:r>
      <w:r w:rsidR="006B7AD1">
        <w:rPr>
          <w:rFonts w:ascii="Times New Roman" w:hAnsi="Times New Roman"/>
          <w:sz w:val="24"/>
          <w:szCs w:val="24"/>
        </w:rPr>
        <w:t>.</w:t>
      </w:r>
      <w:r w:rsidRPr="001B1F5F">
        <w:rPr>
          <w:rFonts w:asciiTheme="minorHAnsi" w:hAnsiTheme="minorHAnsi" w:cstheme="minorHAnsi"/>
          <w:sz w:val="24"/>
          <w:szCs w:val="24"/>
          <w:lang w:val="en-ID"/>
        </w:rPr>
        <w:t xml:space="preserve"> The dummy variable is an alternative variable with the following values: </w:t>
      </w:r>
    </w:p>
    <w:p w14:paraId="5CD43A08" w14:textId="40BE3310" w:rsidR="003A3B64" w:rsidRPr="001B1F5F" w:rsidRDefault="003A3B64" w:rsidP="003A3B64">
      <w:pPr>
        <w:pStyle w:val="NoSpacing"/>
        <w:jc w:val="center"/>
        <w:rPr>
          <w:rFonts w:asciiTheme="minorHAnsi" w:hAnsiTheme="minorHAnsi" w:cstheme="minorHAnsi"/>
          <w:sz w:val="24"/>
          <w:szCs w:val="24"/>
          <w:lang w:val="en-ID"/>
        </w:rPr>
      </w:pPr>
      <w:r w:rsidRPr="001B1F5F">
        <w:rPr>
          <w:rFonts w:asciiTheme="minorHAnsi" w:hAnsiTheme="minorHAnsi" w:cstheme="minorHAnsi"/>
          <w:sz w:val="24"/>
          <w:szCs w:val="24"/>
          <w:lang w:val="en-ID"/>
        </w:rPr>
        <w:t>KAP = 0, for companies not audited by a Big Four accounting firm.</w:t>
      </w:r>
    </w:p>
    <w:p w14:paraId="4B0AA558" w14:textId="54C31C59" w:rsidR="00BC1696" w:rsidRPr="001B1F5F" w:rsidRDefault="003A3B64" w:rsidP="003A3B64">
      <w:pPr>
        <w:pStyle w:val="NoSpacing"/>
        <w:jc w:val="center"/>
        <w:rPr>
          <w:rFonts w:asciiTheme="minorHAnsi" w:hAnsiTheme="minorHAnsi" w:cstheme="minorHAnsi"/>
          <w:sz w:val="24"/>
          <w:szCs w:val="24"/>
          <w:lang w:val="en-ID"/>
        </w:rPr>
      </w:pPr>
      <w:r w:rsidRPr="001B1F5F">
        <w:rPr>
          <w:rFonts w:asciiTheme="minorHAnsi" w:hAnsiTheme="minorHAnsi" w:cstheme="minorHAnsi"/>
          <w:sz w:val="24"/>
          <w:szCs w:val="24"/>
          <w:lang w:val="en-ID"/>
        </w:rPr>
        <w:t>KAP = 1, for companies audited by a Big Four accounting firm</w:t>
      </w:r>
    </w:p>
    <w:p w14:paraId="2FC6FD3A" w14:textId="77777777" w:rsidR="003A3B64" w:rsidRPr="001B1F5F" w:rsidRDefault="003A3B64" w:rsidP="003A3B64">
      <w:pPr>
        <w:pStyle w:val="NoSpacing"/>
        <w:jc w:val="both"/>
        <w:rPr>
          <w:rFonts w:asciiTheme="minorHAnsi" w:hAnsiTheme="minorHAnsi" w:cstheme="minorHAnsi"/>
          <w:sz w:val="24"/>
          <w:szCs w:val="24"/>
          <w:lang w:val="en-ID"/>
        </w:rPr>
      </w:pPr>
    </w:p>
    <w:p w14:paraId="532E4732" w14:textId="388F4B59" w:rsidR="003A3B64" w:rsidRPr="001B1F5F" w:rsidRDefault="003A3B64" w:rsidP="003A3B64">
      <w:pPr>
        <w:pStyle w:val="NoSpacing"/>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Control Variables</w:t>
      </w:r>
    </w:p>
    <w:p w14:paraId="0A41565D" w14:textId="77777777" w:rsidR="003A3B64" w:rsidRPr="001B1F5F" w:rsidRDefault="003A3B64" w:rsidP="003A3B64">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Company Size </w:t>
      </w:r>
    </w:p>
    <w:p w14:paraId="7CA0B349" w14:textId="4D8AF84C" w:rsidR="003A3B64" w:rsidRPr="001B1F5F" w:rsidRDefault="003A3B64" w:rsidP="006B7AD1">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In this study, factors proven to have an influence on tax avoidance practices, such as Company Size (SIZE), Leverage (LEV), Return on Assets (ROA), and Capital Intensity (CAPINT), are used as control variables. There is evidence that company size impacts tax avoidance practices, as larger entities tend to have resources that can be utilized for tax avoidance strategies, though in some cases, they might also face more significant political pressure. Company size is measured by calculating the natural logarithm of the company's total assets</w:t>
      </w:r>
      <w:r w:rsidR="006B7AD1">
        <w:rPr>
          <w:rFonts w:asciiTheme="minorHAnsi" w:hAnsiTheme="minorHAnsi" w:cstheme="minorHAnsi"/>
          <w:sz w:val="24"/>
          <w:szCs w:val="24"/>
          <w:lang w:val="en-ID"/>
        </w:rPr>
        <w:t xml:space="preserve"> (</w:t>
      </w:r>
      <w:proofErr w:type="spellStart"/>
      <w:r w:rsidR="006B7AD1" w:rsidRPr="006B7AD1">
        <w:rPr>
          <w:rFonts w:asciiTheme="minorHAnsi" w:hAnsiTheme="minorHAnsi" w:cstheme="minorHAnsi"/>
          <w:sz w:val="24"/>
          <w:szCs w:val="24"/>
        </w:rPr>
        <w:t>Satyadini</w:t>
      </w:r>
      <w:proofErr w:type="spellEnd"/>
      <w:r w:rsidR="006B7AD1" w:rsidRPr="006B7AD1">
        <w:rPr>
          <w:rFonts w:asciiTheme="minorHAnsi" w:hAnsiTheme="minorHAnsi" w:cstheme="minorHAnsi"/>
          <w:sz w:val="24"/>
          <w:szCs w:val="24"/>
        </w:rPr>
        <w:t>, 2018</w:t>
      </w:r>
      <w:r w:rsidR="006B7AD1">
        <w:rPr>
          <w:rFonts w:asciiTheme="minorHAnsi" w:hAnsiTheme="minorHAnsi" w:cstheme="minorHAnsi"/>
          <w:sz w:val="24"/>
          <w:szCs w:val="24"/>
        </w:rPr>
        <w:t>)</w:t>
      </w:r>
      <w:r w:rsidRPr="001B1F5F">
        <w:rPr>
          <w:rFonts w:asciiTheme="minorHAnsi" w:hAnsiTheme="minorHAnsi" w:cstheme="minorHAnsi"/>
          <w:sz w:val="24"/>
          <w:szCs w:val="24"/>
          <w:lang w:val="en-ID"/>
        </w:rPr>
        <w:t>:</w:t>
      </w:r>
    </w:p>
    <w:p w14:paraId="0D325981" w14:textId="77777777" w:rsidR="003A3B64" w:rsidRPr="001B1F5F" w:rsidRDefault="003A3B64" w:rsidP="003A3B64">
      <w:pPr>
        <w:pStyle w:val="ListParagraph"/>
        <w:spacing w:after="0" w:line="360" w:lineRule="auto"/>
        <w:ind w:left="0"/>
        <w:jc w:val="both"/>
        <w:rPr>
          <w:rFonts w:asciiTheme="minorHAnsi" w:eastAsiaTheme="minorEastAsia" w:hAnsiTheme="minorHAnsi" w:cstheme="minorHAnsi"/>
          <w:b/>
          <w:sz w:val="24"/>
          <w:szCs w:val="24"/>
        </w:rPr>
      </w:pPr>
      <m:oMathPara>
        <m:oMath>
          <m:r>
            <m:rPr>
              <m:sty m:val="b"/>
            </m:rPr>
            <w:rPr>
              <w:rFonts w:ascii="Cambria Math" w:hAnsi="Cambria Math" w:cstheme="minorHAnsi"/>
              <w:sz w:val="24"/>
              <w:szCs w:val="24"/>
            </w:rPr>
            <m:t>SIZE</m:t>
          </m:r>
          <m:r>
            <m:rPr>
              <m:sty m:val="bi"/>
            </m:rPr>
            <w:rPr>
              <w:rFonts w:ascii="Cambria Math" w:hAnsi="Cambria Math" w:cstheme="minorHAnsi"/>
              <w:sz w:val="24"/>
              <w:szCs w:val="24"/>
            </w:rPr>
            <m:t xml:space="preserve">=Ln total </m:t>
          </m:r>
          <m:r>
            <m:rPr>
              <m:sty m:val="b"/>
            </m:rPr>
            <w:rPr>
              <w:rFonts w:ascii="Cambria Math" w:hAnsi="Cambria Math" w:cstheme="minorHAnsi"/>
              <w:sz w:val="24"/>
              <w:szCs w:val="24"/>
            </w:rPr>
            <m:t>Asset</m:t>
          </m:r>
        </m:oMath>
      </m:oMathPara>
    </w:p>
    <w:p w14:paraId="315426F9" w14:textId="06E2B189" w:rsidR="003A3B64" w:rsidRPr="001B1F5F" w:rsidRDefault="003A3B64" w:rsidP="003A3B64">
      <w:pPr>
        <w:pStyle w:val="NoSpacing"/>
        <w:jc w:val="both"/>
        <w:rPr>
          <w:rFonts w:asciiTheme="minorHAnsi" w:hAnsiTheme="minorHAnsi" w:cstheme="minorHAnsi"/>
          <w:sz w:val="24"/>
          <w:szCs w:val="24"/>
        </w:rPr>
      </w:pPr>
    </w:p>
    <w:p w14:paraId="374179D2" w14:textId="3C280357" w:rsidR="003A3B64" w:rsidRPr="001B1F5F" w:rsidRDefault="003A3B64" w:rsidP="003A3B64">
      <w:pPr>
        <w:pStyle w:val="NoSpacing"/>
        <w:jc w:val="both"/>
        <w:rPr>
          <w:rFonts w:asciiTheme="minorHAnsi" w:hAnsiTheme="minorHAnsi" w:cstheme="minorHAnsi"/>
          <w:sz w:val="24"/>
          <w:szCs w:val="24"/>
        </w:rPr>
      </w:pPr>
      <w:r w:rsidRPr="001B1F5F">
        <w:rPr>
          <w:rFonts w:asciiTheme="minorHAnsi" w:hAnsiTheme="minorHAnsi" w:cstheme="minorHAnsi"/>
          <w:sz w:val="24"/>
          <w:szCs w:val="24"/>
        </w:rPr>
        <w:t>Leverage</w:t>
      </w:r>
    </w:p>
    <w:p w14:paraId="30A4D9B0" w14:textId="5B5FA0E6" w:rsidR="0073238E" w:rsidRPr="0073238E" w:rsidRDefault="003A3B64" w:rsidP="0073238E">
      <w:pPr>
        <w:pStyle w:val="NoSpacing"/>
        <w:ind w:firstLine="720"/>
        <w:jc w:val="both"/>
        <w:rPr>
          <w:rFonts w:asciiTheme="minorHAnsi" w:hAnsiTheme="minorHAnsi" w:cstheme="minorHAnsi"/>
          <w:i/>
          <w:iCs/>
          <w:sz w:val="24"/>
          <w:szCs w:val="24"/>
        </w:rPr>
      </w:pPr>
      <w:r w:rsidRPr="001B1F5F">
        <w:rPr>
          <w:rFonts w:asciiTheme="minorHAnsi" w:hAnsiTheme="minorHAnsi" w:cstheme="minorHAnsi"/>
          <w:sz w:val="24"/>
          <w:szCs w:val="24"/>
          <w:lang w:val="en-ID"/>
        </w:rPr>
        <w:t xml:space="preserve">Furthermore, the use of debt as the primary source of funding can also influence tax avoidance because companies employing this approach can benefit from the tax shield of the interest they pay. </w:t>
      </w:r>
      <w:r w:rsidRPr="001B1F5F">
        <w:rPr>
          <w:rFonts w:asciiTheme="minorHAnsi" w:hAnsiTheme="minorHAnsi" w:cstheme="minorHAnsi"/>
          <w:sz w:val="24"/>
          <w:szCs w:val="24"/>
          <w:lang w:val="en-ID"/>
        </w:rPr>
        <w:lastRenderedPageBreak/>
        <w:t>The level of debt is measured by comparing the total liabilities to the total assets of the company</w:t>
      </w:r>
      <w:r w:rsidR="0073238E">
        <w:rPr>
          <w:rFonts w:asciiTheme="minorHAnsi" w:hAnsiTheme="minorHAnsi" w:cstheme="minorHAnsi"/>
          <w:sz w:val="24"/>
          <w:szCs w:val="24"/>
          <w:lang w:val="en-ID"/>
        </w:rPr>
        <w:t xml:space="preserve"> (</w:t>
      </w:r>
      <w:r w:rsidR="0073238E" w:rsidRPr="0073238E">
        <w:rPr>
          <w:rFonts w:asciiTheme="minorHAnsi" w:hAnsiTheme="minorHAnsi" w:cstheme="minorHAnsi"/>
          <w:sz w:val="24"/>
          <w:szCs w:val="24"/>
        </w:rPr>
        <w:fldChar w:fldCharType="begin"/>
      </w:r>
      <w:r w:rsidR="00081DBF">
        <w:rPr>
          <w:rFonts w:asciiTheme="minorHAnsi" w:hAnsiTheme="minorHAnsi" w:cstheme="minorHAnsi"/>
          <w:sz w:val="24"/>
          <w:szCs w:val="24"/>
        </w:rPr>
        <w:instrText xml:space="preserve"> ADDIN ZOTERO_ITEM CSL_CITATION {"citationID":"ymv1UN7o","properties":{"formattedCitation":"(Fauzan dkk., 2019)","plainCitation":"(Fauzan dkk., 2019)","dontUpdate":true,"noteIndex":0},"citationItems":[{"id":288,"uris":["http://zotero.org/users/local/1kuimZT3/items/YJUCQ9W5"],"itemData":{"id":288,"type":"article-journal","abstract":"The purpose of this research is to analyze the effect of effect of audit committee, leverage, return on assets, company size, and sales growth of tax avoidance. The population in this research is  a manufacturing company listed in Indonesia Stock Exchange (IDX) period 2014-2016. The sample is determined by purposive sampling technique and obtained sample of 60 companies. This research uses multiple regression data analysis techniques. The result in this research is audit commitee, leverage, return on assets, company size, and sales growth influence to tax avoidance.","container-title":"Riset Akuntansi dan Keuangan Indonesia","DOI":"10.23917/reaksi.v4i3.9338","ISSN":"2541-6111","issue":"3","language":"en","license":"Copyright (c) 2019 Riset Akuntansi dan Keuangan Indonesia","note":"number: 3","page":"171-185","source":"journals.ums.ac.id","title":"The Effect of Audit Committee, Leverage, Return on Assets, Company Size, and Sales Growth on Tax Avoidance","volume":"4","author":[{"family":"Fauzan","given":"Fauzan"},{"family":"Ayu","given":"Dyah Ayu"},{"family":"Nurharjanti","given":"Nashirotun Nisa"}],"issued":{"date-parts":[["2019",12,30]]}}}],"schema":"https://github.com/citation-style-language/schema/raw/master/csl-citation.json"} </w:instrText>
      </w:r>
      <w:r w:rsidR="0073238E" w:rsidRPr="0073238E">
        <w:rPr>
          <w:rFonts w:asciiTheme="minorHAnsi" w:hAnsiTheme="minorHAnsi" w:cstheme="minorHAnsi"/>
          <w:sz w:val="24"/>
          <w:szCs w:val="24"/>
        </w:rPr>
        <w:fldChar w:fldCharType="separate"/>
      </w:r>
      <w:r w:rsidR="0073238E" w:rsidRPr="0073238E">
        <w:rPr>
          <w:rFonts w:asciiTheme="minorHAnsi" w:hAnsiTheme="minorHAnsi" w:cstheme="minorHAnsi"/>
          <w:sz w:val="24"/>
          <w:szCs w:val="24"/>
        </w:rPr>
        <w:t xml:space="preserve">Fauzan </w:t>
      </w:r>
      <w:r w:rsidR="0073238E" w:rsidRPr="0073238E">
        <w:rPr>
          <w:rFonts w:asciiTheme="minorHAnsi" w:hAnsiTheme="minorHAnsi" w:cstheme="minorHAnsi"/>
          <w:i/>
          <w:iCs/>
          <w:sz w:val="24"/>
          <w:szCs w:val="24"/>
        </w:rPr>
        <w:t>et al.</w:t>
      </w:r>
      <w:r w:rsidR="0073238E" w:rsidRPr="0073238E">
        <w:rPr>
          <w:rFonts w:asciiTheme="minorHAnsi" w:hAnsiTheme="minorHAnsi" w:cstheme="minorHAnsi"/>
          <w:sz w:val="24"/>
          <w:szCs w:val="24"/>
        </w:rPr>
        <w:t>, 2019)</w:t>
      </w:r>
      <w:r w:rsidR="0073238E" w:rsidRPr="0073238E">
        <w:rPr>
          <w:rFonts w:asciiTheme="minorHAnsi" w:hAnsiTheme="minorHAnsi" w:cstheme="minorHAnsi"/>
          <w:sz w:val="24"/>
          <w:szCs w:val="24"/>
          <w:lang w:val="en-ID"/>
        </w:rPr>
        <w:fldChar w:fldCharType="end"/>
      </w:r>
      <w:r w:rsidR="0073238E" w:rsidRPr="0073238E">
        <w:rPr>
          <w:rFonts w:asciiTheme="minorHAnsi" w:hAnsiTheme="minorHAnsi" w:cstheme="minorHAnsi"/>
          <w:sz w:val="24"/>
          <w:szCs w:val="24"/>
        </w:rPr>
        <w:t xml:space="preserve">. </w:t>
      </w:r>
    </w:p>
    <w:p w14:paraId="4CB94605" w14:textId="7C2A031D" w:rsidR="003A3B64" w:rsidRPr="001B1F5F" w:rsidRDefault="003A3B64" w:rsidP="0073238E">
      <w:pPr>
        <w:pStyle w:val="NoSpacing"/>
        <w:ind w:firstLine="720"/>
        <w:rPr>
          <w:rFonts w:asciiTheme="minorHAnsi" w:hAnsiTheme="minorHAnsi" w:cstheme="minorHAnsi"/>
          <w:sz w:val="24"/>
          <w:szCs w:val="24"/>
          <w:lang w:val="en-ID"/>
        </w:rPr>
      </w:pPr>
    </w:p>
    <w:p w14:paraId="5268C431" w14:textId="77777777" w:rsidR="003A3B64" w:rsidRPr="001B1F5F" w:rsidRDefault="003A3B64" w:rsidP="003A3B64">
      <w:pPr>
        <w:spacing w:line="276" w:lineRule="auto"/>
        <w:jc w:val="both"/>
        <w:rPr>
          <w:rFonts w:asciiTheme="minorHAnsi" w:hAnsiTheme="minorHAnsi" w:cstheme="minorHAnsi"/>
          <w:sz w:val="24"/>
          <w:szCs w:val="24"/>
        </w:rPr>
      </w:pPr>
      <m:oMathPara>
        <m:oMath>
          <m:r>
            <m:rPr>
              <m:sty m:val="b"/>
            </m:rPr>
            <w:rPr>
              <w:rFonts w:ascii="Cambria Math" w:hAnsi="Cambria Math" w:cstheme="minorHAnsi"/>
              <w:sz w:val="24"/>
              <w:szCs w:val="24"/>
            </w:rPr>
            <m:t>LEV</m:t>
          </m:r>
          <m:r>
            <m:rPr>
              <m:sty m:val="bi"/>
            </m:rPr>
            <w:rPr>
              <w:rFonts w:ascii="Cambria Math" w:hAnsi="Cambria Math" w:cstheme="minorHAnsi"/>
              <w:sz w:val="24"/>
              <w:szCs w:val="24"/>
            </w:rPr>
            <m:t xml:space="preserve">= </m:t>
          </m:r>
          <m:f>
            <m:fPr>
              <m:ctrlPr>
                <w:rPr>
                  <w:rFonts w:ascii="Cambria Math" w:hAnsi="Cambria Math" w:cstheme="minorHAnsi"/>
                  <w:b/>
                  <w:i/>
                  <w:sz w:val="24"/>
                  <w:szCs w:val="24"/>
                </w:rPr>
              </m:ctrlPr>
            </m:fPr>
            <m:num>
              <m:r>
                <m:rPr>
                  <m:sty m:val="bi"/>
                </m:rPr>
                <w:rPr>
                  <w:rFonts w:ascii="Cambria Math" w:hAnsi="Cambria Math" w:cstheme="minorHAnsi"/>
                  <w:sz w:val="24"/>
                  <w:szCs w:val="24"/>
                </w:rPr>
                <m:t>total liabilities</m:t>
              </m:r>
            </m:num>
            <m:den>
              <m:r>
                <m:rPr>
                  <m:sty m:val="bi"/>
                </m:rPr>
                <w:rPr>
                  <w:rFonts w:ascii="Cambria Math" w:hAnsi="Cambria Math" w:cstheme="minorHAnsi"/>
                  <w:sz w:val="24"/>
                  <w:szCs w:val="24"/>
                </w:rPr>
                <m:t>total Assets</m:t>
              </m:r>
            </m:den>
          </m:f>
        </m:oMath>
      </m:oMathPara>
    </w:p>
    <w:p w14:paraId="30BB7AEA" w14:textId="64DF51FF" w:rsidR="003A3B64" w:rsidRPr="001B1F5F" w:rsidRDefault="003A3B64" w:rsidP="003A3B64">
      <w:pPr>
        <w:pStyle w:val="NoSpacing"/>
        <w:jc w:val="both"/>
        <w:rPr>
          <w:rFonts w:asciiTheme="minorHAnsi" w:hAnsiTheme="minorHAnsi" w:cstheme="minorHAnsi"/>
          <w:sz w:val="24"/>
          <w:szCs w:val="24"/>
        </w:rPr>
      </w:pPr>
      <w:r w:rsidRPr="001B1F5F">
        <w:rPr>
          <w:rFonts w:asciiTheme="minorHAnsi" w:hAnsiTheme="minorHAnsi" w:cstheme="minorHAnsi"/>
          <w:sz w:val="24"/>
          <w:szCs w:val="24"/>
        </w:rPr>
        <w:t xml:space="preserve">Return </w:t>
      </w:r>
      <w:r w:rsidR="006B7AD1">
        <w:rPr>
          <w:rFonts w:asciiTheme="minorHAnsi" w:hAnsiTheme="minorHAnsi" w:cstheme="minorHAnsi"/>
          <w:sz w:val="24"/>
          <w:szCs w:val="24"/>
        </w:rPr>
        <w:t>o</w:t>
      </w:r>
      <w:r w:rsidRPr="001B1F5F">
        <w:rPr>
          <w:rFonts w:asciiTheme="minorHAnsi" w:hAnsiTheme="minorHAnsi" w:cstheme="minorHAnsi"/>
          <w:sz w:val="24"/>
          <w:szCs w:val="24"/>
        </w:rPr>
        <w:t>n Assets</w:t>
      </w:r>
    </w:p>
    <w:p w14:paraId="69B27341" w14:textId="579080BC" w:rsidR="003A3B64" w:rsidRPr="001B1F5F" w:rsidRDefault="003A3B64" w:rsidP="00081DBF">
      <w:pPr>
        <w:pStyle w:val="NoSpacing"/>
        <w:spacing w:after="240"/>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Companies with higher profitability levels tend to engage more in tax avoidance to reduce the tax burden that increases alongside profit growth. Company profitability is measured using the Return on Assets (ROA) ratio, calculated by comparing net income to total assets</w:t>
      </w:r>
      <w:r w:rsidR="00081DBF">
        <w:rPr>
          <w:rFonts w:asciiTheme="minorHAnsi" w:hAnsiTheme="minorHAnsi" w:cstheme="minorHAnsi"/>
          <w:sz w:val="24"/>
          <w:szCs w:val="24"/>
          <w:lang w:val="en-ID"/>
        </w:rPr>
        <w:t xml:space="preserve"> as used in the study by </w:t>
      </w:r>
      <w:proofErr w:type="spellStart"/>
      <w:r w:rsidR="00081DBF">
        <w:rPr>
          <w:rFonts w:asciiTheme="minorHAnsi" w:hAnsiTheme="minorHAnsi" w:cstheme="minorHAnsi"/>
          <w:sz w:val="24"/>
          <w:szCs w:val="24"/>
          <w:lang w:val="en-ID"/>
        </w:rPr>
        <w:t>Dewi</w:t>
      </w:r>
      <w:proofErr w:type="spellEnd"/>
      <w:r w:rsidR="00081DBF">
        <w:rPr>
          <w:rFonts w:asciiTheme="minorHAnsi" w:hAnsiTheme="minorHAnsi" w:cstheme="minorHAnsi"/>
          <w:sz w:val="24"/>
          <w:szCs w:val="24"/>
          <w:lang w:val="en-ID"/>
        </w:rPr>
        <w:t xml:space="preserve"> &amp; </w:t>
      </w:r>
      <w:proofErr w:type="spellStart"/>
      <w:r w:rsidR="00081DBF">
        <w:rPr>
          <w:rFonts w:asciiTheme="minorHAnsi" w:hAnsiTheme="minorHAnsi" w:cstheme="minorHAnsi"/>
          <w:sz w:val="24"/>
          <w:szCs w:val="24"/>
          <w:lang w:val="en-ID"/>
        </w:rPr>
        <w:t>Yasa</w:t>
      </w:r>
      <w:proofErr w:type="spellEnd"/>
      <w:r w:rsidR="00081DBF">
        <w:rPr>
          <w:rFonts w:asciiTheme="minorHAnsi" w:hAnsiTheme="minorHAnsi" w:cstheme="minorHAnsi"/>
          <w:sz w:val="24"/>
          <w:szCs w:val="24"/>
          <w:lang w:val="en-ID"/>
        </w:rPr>
        <w:t xml:space="preserve"> (2020).</w:t>
      </w:r>
    </w:p>
    <w:p w14:paraId="1DCA7A9D" w14:textId="77777777" w:rsidR="003A3B64" w:rsidRPr="001B1F5F" w:rsidRDefault="003A3B64" w:rsidP="003A3B64">
      <w:pPr>
        <w:spacing w:line="276" w:lineRule="auto"/>
        <w:jc w:val="both"/>
        <w:rPr>
          <w:rFonts w:asciiTheme="minorHAnsi" w:hAnsiTheme="minorHAnsi" w:cstheme="minorHAnsi"/>
          <w:sz w:val="24"/>
          <w:szCs w:val="24"/>
        </w:rPr>
      </w:pPr>
      <m:oMathPara>
        <m:oMath>
          <m:r>
            <m:rPr>
              <m:sty m:val="b"/>
            </m:rPr>
            <w:rPr>
              <w:rFonts w:ascii="Cambria Math" w:hAnsi="Cambria Math" w:cstheme="minorHAnsi"/>
              <w:sz w:val="24"/>
              <w:szCs w:val="24"/>
            </w:rPr>
            <m:t>ROA</m:t>
          </m:r>
          <m:r>
            <m:rPr>
              <m:sty m:val="bi"/>
            </m:rPr>
            <w:rPr>
              <w:rFonts w:ascii="Cambria Math" w:hAnsi="Cambria Math" w:cstheme="minorHAnsi"/>
              <w:sz w:val="24"/>
              <w:szCs w:val="24"/>
            </w:rPr>
            <m:t xml:space="preserve">= </m:t>
          </m:r>
          <m:f>
            <m:fPr>
              <m:ctrlPr>
                <w:rPr>
                  <w:rFonts w:ascii="Cambria Math" w:hAnsi="Cambria Math" w:cstheme="minorHAnsi"/>
                  <w:b/>
                  <w:i/>
                  <w:sz w:val="24"/>
                  <w:szCs w:val="24"/>
                </w:rPr>
              </m:ctrlPr>
            </m:fPr>
            <m:num>
              <m:r>
                <m:rPr>
                  <m:sty m:val="bi"/>
                </m:rPr>
                <w:rPr>
                  <w:rFonts w:ascii="Cambria Math" w:hAnsi="Cambria Math" w:cstheme="minorHAnsi"/>
                  <w:sz w:val="24"/>
                  <w:szCs w:val="24"/>
                </w:rPr>
                <m:t>Net Income</m:t>
              </m:r>
            </m:num>
            <m:den>
              <m:r>
                <m:rPr>
                  <m:sty m:val="bi"/>
                </m:rPr>
                <w:rPr>
                  <w:rFonts w:ascii="Cambria Math" w:hAnsi="Cambria Math" w:cstheme="minorHAnsi"/>
                  <w:sz w:val="24"/>
                  <w:szCs w:val="24"/>
                </w:rPr>
                <m:t>total Assets</m:t>
              </m:r>
            </m:den>
          </m:f>
        </m:oMath>
      </m:oMathPara>
    </w:p>
    <w:p w14:paraId="7104D133" w14:textId="1D67F108" w:rsidR="003A3B64" w:rsidRPr="001B1F5F" w:rsidRDefault="003A3B64" w:rsidP="003A3B64">
      <w:pPr>
        <w:pStyle w:val="NoSpacing"/>
        <w:jc w:val="both"/>
        <w:rPr>
          <w:rFonts w:asciiTheme="minorHAnsi" w:hAnsiTheme="minorHAnsi" w:cstheme="minorHAnsi"/>
          <w:sz w:val="24"/>
          <w:szCs w:val="24"/>
        </w:rPr>
      </w:pPr>
      <w:r w:rsidRPr="001B1F5F">
        <w:rPr>
          <w:rFonts w:asciiTheme="minorHAnsi" w:hAnsiTheme="minorHAnsi" w:cstheme="minorHAnsi"/>
          <w:sz w:val="24"/>
          <w:szCs w:val="24"/>
        </w:rPr>
        <w:t>Capital Intensity</w:t>
      </w:r>
    </w:p>
    <w:p w14:paraId="4920A3A7" w14:textId="60D2D7D6" w:rsidR="003A3B64" w:rsidRPr="001B1F5F" w:rsidRDefault="003A3B64" w:rsidP="00081DBF">
      <w:pPr>
        <w:pStyle w:val="NoSpacing"/>
        <w:spacing w:after="240"/>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Companies with relatively large asset amounts can benefit from the tax shield of depreciation expenses that can be utilized as a tax deduction. Capital Intensity (CAPINT) is the ratio between Net Property, Plant, and Equipment to total assets</w:t>
      </w:r>
      <w:r w:rsidR="00081DBF">
        <w:rPr>
          <w:rFonts w:asciiTheme="minorHAnsi" w:hAnsiTheme="minorHAnsi" w:cstheme="minorHAnsi"/>
          <w:sz w:val="24"/>
          <w:szCs w:val="24"/>
          <w:lang w:val="en-ID"/>
        </w:rPr>
        <w:t xml:space="preserve"> </w:t>
      </w:r>
      <w:r w:rsidR="00081DBF">
        <w:rPr>
          <w:rFonts w:asciiTheme="minorHAnsi" w:hAnsiTheme="minorHAnsi" w:cstheme="minorHAnsi"/>
          <w:sz w:val="24"/>
          <w:szCs w:val="24"/>
          <w:lang w:val="en-ID"/>
        </w:rPr>
        <w:fldChar w:fldCharType="begin"/>
      </w:r>
      <w:r w:rsidR="00081DBF">
        <w:rPr>
          <w:rFonts w:asciiTheme="minorHAnsi" w:hAnsiTheme="minorHAnsi" w:cstheme="minorHAnsi"/>
          <w:sz w:val="24"/>
          <w:szCs w:val="24"/>
          <w:lang w:val="en-ID"/>
        </w:rPr>
        <w:instrText xml:space="preserve"> ADDIN ZOTERO_ITEM CSL_CITATION {"citationID":"AIIjoW4B","properties":{"formattedCitation":"(Widyastuti et al., 2022)","plainCitation":"(Widyastuti et al., 2022)","noteIndex":0},"citationItems":[{"id":466,"uris":["http://zotero.org/users/local/1kuimZT3/items/LRHZ96SN"],"itemData":{"id":466,"type":"article-journal","abstract":"This study was conducted to analyze and test and provide empirical evidence of the effect of profitability, leverage, corporate governance, and capital intensity on tax avoidance. The population in this study were companies in the agricultural and mining sectors which were listed on the Indonesia Stock Exchange for the period 2015-2019. The data selection technique used was purposive sampling to obtain 270 companies. The analytical method used is multiple linear regression. The test results show that the variable profitability, leverage has a positive effect on tax avoidance. The board of commissioners and the audit committee as a proxy for corporate governance and the capital intensity variable also shows a positive influence on tax avoidance.","container-title":"Integrated Journal of Business and Economics","DOI":"10.33019/ijbe.v6i1.391","ISSN":"2549-3280","issue":"1","language":"en","license":"Copyright (c) 2022 Sari Mustika Widyastuti","note":"number: 1","page":"13-27","source":"ojs.ijbe-research.com","title":"THE EFFECT OF LEVERAGE, PROFITABILITY, CAPITAL INTENSITY AND CORPORATE GOVERNANCE ON TAX AVOIDANCE","volume":"6","author":[{"family":"Widyastuti","given":"Sari Mustika"},{"family":"Meutia","given":"Inten"},{"family":"Candrakanta","given":"Aloysius Bagas"}],"issued":{"date-parts":[["2022",2,28]]}}}],"schema":"https://github.com/citation-style-language/schema/raw/master/csl-citation.json"} </w:instrText>
      </w:r>
      <w:r w:rsidR="00081DBF">
        <w:rPr>
          <w:rFonts w:asciiTheme="minorHAnsi" w:hAnsiTheme="minorHAnsi" w:cstheme="minorHAnsi"/>
          <w:sz w:val="24"/>
          <w:szCs w:val="24"/>
          <w:lang w:val="en-ID"/>
        </w:rPr>
        <w:fldChar w:fldCharType="separate"/>
      </w:r>
      <w:r w:rsidR="00081DBF" w:rsidRPr="00081DBF">
        <w:rPr>
          <w:rFonts w:cs="Calibri"/>
          <w:sz w:val="24"/>
        </w:rPr>
        <w:t xml:space="preserve">(Widyastuti </w:t>
      </w:r>
      <w:r w:rsidR="00081DBF" w:rsidRPr="00081DBF">
        <w:rPr>
          <w:rFonts w:cs="Calibri"/>
          <w:i/>
          <w:iCs/>
          <w:sz w:val="24"/>
        </w:rPr>
        <w:t>et al.</w:t>
      </w:r>
      <w:r w:rsidR="00081DBF">
        <w:rPr>
          <w:rFonts w:cs="Calibri"/>
          <w:i/>
          <w:iCs/>
          <w:sz w:val="24"/>
        </w:rPr>
        <w:t xml:space="preserve">, </w:t>
      </w:r>
      <w:r w:rsidR="00081DBF" w:rsidRPr="00081DBF">
        <w:rPr>
          <w:rFonts w:cs="Calibri"/>
          <w:sz w:val="24"/>
        </w:rPr>
        <w:t>2022)</w:t>
      </w:r>
      <w:r w:rsidR="00081DBF">
        <w:rPr>
          <w:rFonts w:asciiTheme="minorHAnsi" w:hAnsiTheme="minorHAnsi" w:cstheme="minorHAnsi"/>
          <w:sz w:val="24"/>
          <w:szCs w:val="24"/>
          <w:lang w:val="en-ID"/>
        </w:rPr>
        <w:fldChar w:fldCharType="end"/>
      </w:r>
    </w:p>
    <w:p w14:paraId="3CD8B00D" w14:textId="77777777" w:rsidR="003A3B64" w:rsidRPr="001B1F5F" w:rsidRDefault="003A3B64" w:rsidP="003A3B64">
      <w:pPr>
        <w:spacing w:line="276" w:lineRule="auto"/>
        <w:jc w:val="both"/>
        <w:rPr>
          <w:rFonts w:asciiTheme="minorHAnsi" w:hAnsiTheme="minorHAnsi" w:cstheme="minorHAnsi"/>
          <w:sz w:val="24"/>
          <w:szCs w:val="24"/>
        </w:rPr>
      </w:pPr>
      <m:oMathPara>
        <m:oMath>
          <m:r>
            <m:rPr>
              <m:sty m:val="b"/>
            </m:rPr>
            <w:rPr>
              <w:rFonts w:ascii="Cambria Math" w:hAnsi="Cambria Math" w:cstheme="minorHAnsi"/>
              <w:sz w:val="24"/>
              <w:szCs w:val="24"/>
            </w:rPr>
            <m:t>CAPINT</m:t>
          </m:r>
          <m:r>
            <m:rPr>
              <m:sty m:val="bi"/>
            </m:rPr>
            <w:rPr>
              <w:rFonts w:ascii="Cambria Math" w:hAnsi="Cambria Math" w:cstheme="minorHAnsi"/>
              <w:sz w:val="24"/>
              <w:szCs w:val="24"/>
            </w:rPr>
            <m:t xml:space="preserve">= </m:t>
          </m:r>
          <m:f>
            <m:fPr>
              <m:ctrlPr>
                <w:rPr>
                  <w:rFonts w:ascii="Cambria Math" w:hAnsi="Cambria Math" w:cstheme="minorHAnsi"/>
                  <w:b/>
                  <w:i/>
                  <w:sz w:val="24"/>
                  <w:szCs w:val="24"/>
                </w:rPr>
              </m:ctrlPr>
            </m:fPr>
            <m:num>
              <m:r>
                <m:rPr>
                  <m:sty m:val="bi"/>
                </m:rPr>
                <w:rPr>
                  <w:rFonts w:ascii="Cambria Math" w:hAnsi="Cambria Math" w:cstheme="minorHAnsi"/>
                  <w:sz w:val="24"/>
                  <w:szCs w:val="24"/>
                </w:rPr>
                <m:t>Net Property, Plant, and Equipment</m:t>
              </m:r>
            </m:num>
            <m:den>
              <m:r>
                <m:rPr>
                  <m:sty m:val="bi"/>
                </m:rPr>
                <w:rPr>
                  <w:rFonts w:ascii="Cambria Math" w:hAnsi="Cambria Math" w:cstheme="minorHAnsi"/>
                  <w:sz w:val="24"/>
                  <w:szCs w:val="24"/>
                </w:rPr>
                <m:t>total Assets</m:t>
              </m:r>
            </m:den>
          </m:f>
        </m:oMath>
      </m:oMathPara>
    </w:p>
    <w:p w14:paraId="2E0B732E" w14:textId="4BCD7081" w:rsidR="003A3B64" w:rsidRPr="001B1F5F" w:rsidRDefault="003A3B64" w:rsidP="00081DBF">
      <w:pPr>
        <w:pStyle w:val="NoSpacing"/>
        <w:spacing w:before="240"/>
        <w:jc w:val="both"/>
        <w:rPr>
          <w:rFonts w:asciiTheme="minorHAnsi" w:hAnsiTheme="minorHAnsi" w:cstheme="minorHAnsi"/>
          <w:sz w:val="24"/>
          <w:szCs w:val="24"/>
        </w:rPr>
      </w:pPr>
      <w:r w:rsidRPr="001B1F5F">
        <w:rPr>
          <w:rFonts w:asciiTheme="minorHAnsi" w:hAnsiTheme="minorHAnsi" w:cstheme="minorHAnsi"/>
          <w:sz w:val="24"/>
          <w:szCs w:val="24"/>
        </w:rPr>
        <w:t>Data Analysis Method</w:t>
      </w:r>
    </w:p>
    <w:p w14:paraId="4E04C5B1" w14:textId="77777777" w:rsidR="003A3B64" w:rsidRPr="001B1F5F" w:rsidRDefault="003A3B64" w:rsidP="006B7AD1">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This research applies descriptive data analysis, including calculating the mean, median, standard deviation, as well as maximum and minimum values from the provided data. This analysis aims to evaluate the consistency of mean and median values of data and to assess whether the data distribution is normal. Moreover, this analysis helps in evaluating if the data variations are within an acceptable range.</w:t>
      </w:r>
    </w:p>
    <w:p w14:paraId="2820E59A" w14:textId="77777777" w:rsidR="003A3B64" w:rsidRPr="001B1F5F" w:rsidRDefault="003A3B64" w:rsidP="00951652">
      <w:pPr>
        <w:pStyle w:val="NoSpacing"/>
        <w:spacing w:after="240"/>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Furthermore, this research also employs multiple regression models to test the hypotheses put forward concerning each of the researched variables. Through regression analysis, this study will statistically determine whether the proposed hypotheses can be accepted or rejected. The regression model is as follows:</w:t>
      </w:r>
    </w:p>
    <w:p w14:paraId="75D53121" w14:textId="77777777" w:rsidR="003A3B64" w:rsidRPr="001B1F5F" w:rsidRDefault="00C11E43" w:rsidP="003A3B64">
      <w:pPr>
        <w:spacing w:line="276" w:lineRule="auto"/>
        <w:jc w:val="both"/>
        <w:rPr>
          <w:rFonts w:asciiTheme="minorHAnsi" w:hAnsiTheme="minorHAnsi" w:cstheme="minorHAnsi"/>
          <w:b/>
          <w:sz w:val="24"/>
          <w:szCs w:val="24"/>
        </w:rPr>
      </w:pPr>
      <m:oMathPara>
        <m:oMath>
          <m:sSub>
            <m:sSubPr>
              <m:ctrlPr>
                <w:rPr>
                  <w:rFonts w:ascii="Cambria Math" w:hAnsi="Cambria Math" w:cstheme="minorHAnsi"/>
                  <w:b/>
                  <w:i/>
                  <w:sz w:val="24"/>
                  <w:szCs w:val="24"/>
                </w:rPr>
              </m:ctrlPr>
            </m:sSubPr>
            <m:e>
              <m:r>
                <m:rPr>
                  <m:sty m:val="bi"/>
                </m:rPr>
                <w:rPr>
                  <w:rFonts w:ascii="Cambria Math" w:hAnsi="Cambria Math" w:cstheme="minorHAnsi"/>
                  <w:sz w:val="24"/>
                  <w:szCs w:val="24"/>
                </w:rPr>
                <m:t>TAXOCF</m:t>
              </m:r>
            </m:e>
            <m:sub>
              <m:r>
                <m:rPr>
                  <m:sty m:val="bi"/>
                </m:rPr>
                <w:rPr>
                  <w:rFonts w:ascii="Cambria Math" w:hAnsi="Cambria Math" w:cstheme="minorHAnsi"/>
                  <w:sz w:val="24"/>
                  <w:szCs w:val="24"/>
                </w:rPr>
                <m:t>it</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r>
                <m:rPr>
                  <m:sty m:val="bi"/>
                </m:rPr>
                <w:rPr>
                  <w:rFonts w:ascii="Cambria Math" w:hAnsi="Cambria Math" w:cstheme="minorHAnsi"/>
                  <w:sz w:val="24"/>
                  <w:szCs w:val="24"/>
                </w:rPr>
                <m:t>β</m:t>
              </m:r>
            </m:e>
            <m:sub>
              <m:r>
                <m:rPr>
                  <m:sty m:val="bi"/>
                </m:rPr>
                <w:rPr>
                  <w:rFonts w:ascii="Cambria Math" w:hAnsi="Cambria Math" w:cstheme="minorHAnsi"/>
                  <w:sz w:val="24"/>
                  <w:szCs w:val="24"/>
                </w:rPr>
                <m:t>0</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r>
                <m:rPr>
                  <m:sty m:val="bi"/>
                </m:rPr>
                <w:rPr>
                  <w:rFonts w:ascii="Cambria Math" w:hAnsi="Cambria Math" w:cstheme="minorHAnsi"/>
                  <w:sz w:val="24"/>
                  <w:szCs w:val="24"/>
                </w:rPr>
                <m:t>β</m:t>
              </m:r>
            </m:e>
            <m:sub>
              <m:r>
                <m:rPr>
                  <m:sty m:val="bi"/>
                </m:rPr>
                <w:rPr>
                  <w:rFonts w:ascii="Cambria Math" w:hAnsi="Cambria Math" w:cstheme="minorHAnsi"/>
                  <w:sz w:val="24"/>
                  <w:szCs w:val="24"/>
                </w:rPr>
                <m:t>1</m:t>
              </m:r>
            </m:sub>
          </m:sSub>
          <m:sSub>
            <m:sSubPr>
              <m:ctrlPr>
                <w:rPr>
                  <w:rFonts w:ascii="Cambria Math" w:hAnsi="Cambria Math" w:cstheme="minorHAnsi"/>
                  <w:b/>
                  <w:i/>
                  <w:sz w:val="24"/>
                  <w:szCs w:val="24"/>
                </w:rPr>
              </m:ctrlPr>
            </m:sSubPr>
            <m:e>
              <m:r>
                <m:rPr>
                  <m:sty m:val="bi"/>
                </m:rPr>
                <w:rPr>
                  <w:rFonts w:ascii="Cambria Math" w:hAnsi="Cambria Math" w:cstheme="minorHAnsi"/>
                  <w:sz w:val="24"/>
                  <w:szCs w:val="24"/>
                </w:rPr>
                <m:t>TAXFORCE</m:t>
              </m:r>
            </m:e>
            <m:sub>
              <m:r>
                <m:rPr>
                  <m:sty m:val="bi"/>
                </m:rPr>
                <w:rPr>
                  <w:rFonts w:ascii="Cambria Math" w:hAnsi="Cambria Math" w:cstheme="minorHAnsi"/>
                  <w:sz w:val="24"/>
                  <w:szCs w:val="24"/>
                </w:rPr>
                <m:t>it</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r>
                <m:rPr>
                  <m:sty m:val="bi"/>
                </m:rPr>
                <w:rPr>
                  <w:rFonts w:ascii="Cambria Math" w:hAnsi="Cambria Math" w:cstheme="minorHAnsi"/>
                  <w:sz w:val="24"/>
                  <w:szCs w:val="24"/>
                </w:rPr>
                <m:t>β</m:t>
              </m:r>
            </m:e>
            <m:sub>
              <m:r>
                <m:rPr>
                  <m:sty m:val="bi"/>
                </m:rPr>
                <w:rPr>
                  <w:rFonts w:ascii="Cambria Math" w:hAnsi="Cambria Math" w:cstheme="minorHAnsi"/>
                  <w:sz w:val="24"/>
                  <w:szCs w:val="24"/>
                </w:rPr>
                <m:t>2</m:t>
              </m:r>
            </m:sub>
          </m:sSub>
          <m:sSub>
            <m:sSubPr>
              <m:ctrlPr>
                <w:rPr>
                  <w:rFonts w:ascii="Cambria Math" w:hAnsi="Cambria Math" w:cstheme="minorHAnsi"/>
                  <w:b/>
                  <w:i/>
                  <w:sz w:val="24"/>
                  <w:szCs w:val="24"/>
                </w:rPr>
              </m:ctrlPr>
            </m:sSubPr>
            <m:e>
              <m:r>
                <m:rPr>
                  <m:sty m:val="bi"/>
                </m:rPr>
                <w:rPr>
                  <w:rFonts w:ascii="Cambria Math" w:hAnsi="Cambria Math" w:cstheme="minorHAnsi"/>
                  <w:sz w:val="24"/>
                  <w:szCs w:val="24"/>
                </w:rPr>
                <m:t>RPTRAN</m:t>
              </m:r>
            </m:e>
            <m:sub>
              <m:r>
                <m:rPr>
                  <m:sty m:val="bi"/>
                </m:rPr>
                <w:rPr>
                  <w:rFonts w:ascii="Cambria Math" w:hAnsi="Cambria Math" w:cstheme="minorHAnsi"/>
                  <w:sz w:val="24"/>
                  <w:szCs w:val="24"/>
                </w:rPr>
                <m:t>it</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r>
                <m:rPr>
                  <m:sty m:val="bi"/>
                </m:rPr>
                <w:rPr>
                  <w:rFonts w:ascii="Cambria Math" w:hAnsi="Cambria Math" w:cstheme="minorHAnsi"/>
                  <w:sz w:val="24"/>
                  <w:szCs w:val="24"/>
                </w:rPr>
                <m:t>β</m:t>
              </m:r>
            </m:e>
            <m:sub>
              <m:r>
                <m:rPr>
                  <m:sty m:val="bi"/>
                </m:rPr>
                <w:rPr>
                  <w:rFonts w:ascii="Cambria Math" w:hAnsi="Cambria Math" w:cstheme="minorHAnsi"/>
                  <w:sz w:val="24"/>
                  <w:szCs w:val="24"/>
                </w:rPr>
                <m:t>3</m:t>
              </m:r>
            </m:sub>
          </m:sSub>
          <m:sSub>
            <m:sSubPr>
              <m:ctrlPr>
                <w:rPr>
                  <w:rFonts w:ascii="Cambria Math" w:hAnsi="Cambria Math" w:cstheme="minorHAnsi"/>
                  <w:b/>
                  <w:i/>
                  <w:sz w:val="24"/>
                  <w:szCs w:val="24"/>
                </w:rPr>
              </m:ctrlPr>
            </m:sSubPr>
            <m:e>
              <m:r>
                <m:rPr>
                  <m:sty m:val="bi"/>
                </m:rPr>
                <w:rPr>
                  <w:rFonts w:ascii="Cambria Math" w:hAnsi="Cambria Math" w:cstheme="minorHAnsi"/>
                  <w:sz w:val="24"/>
                  <w:szCs w:val="24"/>
                </w:rPr>
                <m:t>KAP</m:t>
              </m:r>
            </m:e>
            <m:sub>
              <m:r>
                <m:rPr>
                  <m:sty m:val="bi"/>
                </m:rPr>
                <w:rPr>
                  <w:rFonts w:ascii="Cambria Math" w:hAnsi="Cambria Math" w:cstheme="minorHAnsi"/>
                  <w:sz w:val="24"/>
                  <w:szCs w:val="24"/>
                </w:rPr>
                <m:t>it</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r>
                <m:rPr>
                  <m:sty m:val="bi"/>
                </m:rPr>
                <w:rPr>
                  <w:rFonts w:ascii="Cambria Math" w:hAnsi="Cambria Math" w:cstheme="minorHAnsi"/>
                  <w:sz w:val="24"/>
                  <w:szCs w:val="24"/>
                </w:rPr>
                <m:t>β</m:t>
              </m:r>
            </m:e>
            <m:sub>
              <m:r>
                <m:rPr>
                  <m:sty m:val="bi"/>
                </m:rPr>
                <w:rPr>
                  <w:rFonts w:ascii="Cambria Math" w:hAnsi="Cambria Math" w:cstheme="minorHAnsi"/>
                  <w:sz w:val="24"/>
                  <w:szCs w:val="24"/>
                </w:rPr>
                <m:t>4</m:t>
              </m:r>
            </m:sub>
          </m:sSub>
          <m:sSub>
            <m:sSubPr>
              <m:ctrlPr>
                <w:rPr>
                  <w:rFonts w:ascii="Cambria Math" w:hAnsi="Cambria Math" w:cstheme="minorHAnsi"/>
                  <w:b/>
                  <w:i/>
                  <w:sz w:val="24"/>
                  <w:szCs w:val="24"/>
                </w:rPr>
              </m:ctrlPr>
            </m:sSubPr>
            <m:e>
              <m:r>
                <m:rPr>
                  <m:sty m:val="bi"/>
                </m:rPr>
                <w:rPr>
                  <w:rFonts w:ascii="Cambria Math" w:hAnsi="Cambria Math" w:cstheme="minorHAnsi"/>
                  <w:sz w:val="24"/>
                  <w:szCs w:val="24"/>
                </w:rPr>
                <m:t>SIZE</m:t>
              </m:r>
            </m:e>
            <m:sub>
              <m:r>
                <m:rPr>
                  <m:sty m:val="bi"/>
                </m:rPr>
                <w:rPr>
                  <w:rFonts w:ascii="Cambria Math" w:hAnsi="Cambria Math" w:cstheme="minorHAnsi"/>
                  <w:sz w:val="24"/>
                  <w:szCs w:val="24"/>
                </w:rPr>
                <m:t>it</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r>
                <m:rPr>
                  <m:sty m:val="bi"/>
                </m:rPr>
                <w:rPr>
                  <w:rFonts w:ascii="Cambria Math" w:hAnsi="Cambria Math" w:cstheme="minorHAnsi"/>
                  <w:sz w:val="24"/>
                  <w:szCs w:val="24"/>
                </w:rPr>
                <m:t>β</m:t>
              </m:r>
            </m:e>
            <m:sub>
              <m:r>
                <m:rPr>
                  <m:sty m:val="bi"/>
                </m:rPr>
                <w:rPr>
                  <w:rFonts w:ascii="Cambria Math" w:hAnsi="Cambria Math" w:cstheme="minorHAnsi"/>
                  <w:sz w:val="24"/>
                  <w:szCs w:val="24"/>
                </w:rPr>
                <m:t>5</m:t>
              </m:r>
            </m:sub>
          </m:sSub>
          <m:sSub>
            <m:sSubPr>
              <m:ctrlPr>
                <w:rPr>
                  <w:rFonts w:ascii="Cambria Math" w:hAnsi="Cambria Math" w:cstheme="minorHAnsi"/>
                  <w:b/>
                  <w:i/>
                  <w:sz w:val="24"/>
                  <w:szCs w:val="24"/>
                </w:rPr>
              </m:ctrlPr>
            </m:sSubPr>
            <m:e>
              <m:r>
                <m:rPr>
                  <m:sty m:val="bi"/>
                </m:rPr>
                <w:rPr>
                  <w:rFonts w:ascii="Cambria Math" w:hAnsi="Cambria Math" w:cstheme="minorHAnsi"/>
                  <w:sz w:val="24"/>
                  <w:szCs w:val="24"/>
                </w:rPr>
                <m:t>LEV</m:t>
              </m:r>
            </m:e>
            <m:sub>
              <m:r>
                <m:rPr>
                  <m:sty m:val="bi"/>
                </m:rPr>
                <w:rPr>
                  <w:rFonts w:ascii="Cambria Math" w:hAnsi="Cambria Math" w:cstheme="minorHAnsi"/>
                  <w:sz w:val="24"/>
                  <w:szCs w:val="24"/>
                </w:rPr>
                <m:t>it</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r>
                <m:rPr>
                  <m:sty m:val="bi"/>
                </m:rPr>
                <w:rPr>
                  <w:rFonts w:ascii="Cambria Math" w:hAnsi="Cambria Math" w:cstheme="minorHAnsi"/>
                  <w:sz w:val="24"/>
                  <w:szCs w:val="24"/>
                </w:rPr>
                <m:t>β</m:t>
              </m:r>
            </m:e>
            <m:sub>
              <m:r>
                <m:rPr>
                  <m:sty m:val="bi"/>
                </m:rPr>
                <w:rPr>
                  <w:rFonts w:ascii="Cambria Math" w:hAnsi="Cambria Math" w:cstheme="minorHAnsi"/>
                  <w:sz w:val="24"/>
                  <w:szCs w:val="24"/>
                </w:rPr>
                <m:t>6</m:t>
              </m:r>
            </m:sub>
          </m:sSub>
          <m:sSub>
            <m:sSubPr>
              <m:ctrlPr>
                <w:rPr>
                  <w:rFonts w:ascii="Cambria Math" w:hAnsi="Cambria Math" w:cstheme="minorHAnsi"/>
                  <w:b/>
                  <w:i/>
                  <w:sz w:val="24"/>
                  <w:szCs w:val="24"/>
                </w:rPr>
              </m:ctrlPr>
            </m:sSubPr>
            <m:e>
              <m:r>
                <m:rPr>
                  <m:sty m:val="bi"/>
                </m:rPr>
                <w:rPr>
                  <w:rFonts w:ascii="Cambria Math" w:hAnsi="Cambria Math" w:cstheme="minorHAnsi"/>
                  <w:sz w:val="24"/>
                  <w:szCs w:val="24"/>
                </w:rPr>
                <m:t>ROA</m:t>
              </m:r>
            </m:e>
            <m:sub>
              <m:r>
                <m:rPr>
                  <m:sty m:val="bi"/>
                </m:rPr>
                <w:rPr>
                  <w:rFonts w:ascii="Cambria Math" w:hAnsi="Cambria Math" w:cstheme="minorHAnsi"/>
                  <w:sz w:val="24"/>
                  <w:szCs w:val="24"/>
                </w:rPr>
                <m:t>it</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r>
                <m:rPr>
                  <m:sty m:val="bi"/>
                </m:rPr>
                <w:rPr>
                  <w:rFonts w:ascii="Cambria Math" w:hAnsi="Cambria Math" w:cstheme="minorHAnsi"/>
                  <w:sz w:val="24"/>
                  <w:szCs w:val="24"/>
                </w:rPr>
                <m:t>β</m:t>
              </m:r>
            </m:e>
            <m:sub>
              <m:r>
                <m:rPr>
                  <m:sty m:val="bi"/>
                </m:rPr>
                <w:rPr>
                  <w:rFonts w:ascii="Cambria Math" w:hAnsi="Cambria Math" w:cstheme="minorHAnsi"/>
                  <w:sz w:val="24"/>
                  <w:szCs w:val="24"/>
                </w:rPr>
                <m:t>7</m:t>
              </m:r>
            </m:sub>
          </m:sSub>
          <m:sSub>
            <m:sSubPr>
              <m:ctrlPr>
                <w:rPr>
                  <w:rFonts w:ascii="Cambria Math" w:hAnsi="Cambria Math" w:cstheme="minorHAnsi"/>
                  <w:b/>
                  <w:i/>
                  <w:sz w:val="24"/>
                  <w:szCs w:val="24"/>
                </w:rPr>
              </m:ctrlPr>
            </m:sSubPr>
            <m:e>
              <m:r>
                <m:rPr>
                  <m:sty m:val="bi"/>
                </m:rPr>
                <w:rPr>
                  <w:rFonts w:ascii="Cambria Math" w:hAnsi="Cambria Math" w:cstheme="minorHAnsi"/>
                  <w:sz w:val="24"/>
                  <w:szCs w:val="24"/>
                </w:rPr>
                <m:t>CAPINT</m:t>
              </m:r>
            </m:e>
            <m:sub>
              <m:r>
                <m:rPr>
                  <m:sty m:val="bi"/>
                </m:rPr>
                <w:rPr>
                  <w:rFonts w:ascii="Cambria Math" w:hAnsi="Cambria Math" w:cstheme="minorHAnsi"/>
                  <w:sz w:val="24"/>
                  <w:szCs w:val="24"/>
                </w:rPr>
                <m:t>it</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r>
                <m:rPr>
                  <m:sty m:val="bi"/>
                </m:rPr>
                <w:rPr>
                  <w:rFonts w:ascii="Cambria Math" w:hAnsi="Cambria Math" w:cstheme="minorHAnsi"/>
                  <w:sz w:val="24"/>
                  <w:szCs w:val="24"/>
                </w:rPr>
                <m:t>e</m:t>
              </m:r>
            </m:e>
            <m:sub>
              <m:r>
                <m:rPr>
                  <m:sty m:val="bi"/>
                </m:rPr>
                <w:rPr>
                  <w:rFonts w:ascii="Cambria Math" w:hAnsi="Cambria Math" w:cstheme="minorHAnsi"/>
                  <w:sz w:val="24"/>
                  <w:szCs w:val="24"/>
                </w:rPr>
                <m:t>it</m:t>
              </m:r>
            </m:sub>
          </m:sSub>
        </m:oMath>
      </m:oMathPara>
    </w:p>
    <w:p w14:paraId="0C572039" w14:textId="00400C99" w:rsidR="003A3B64" w:rsidRPr="001B1F5F" w:rsidRDefault="003A3B64" w:rsidP="00F73E0F">
      <w:pPr>
        <w:pStyle w:val="NoSpacing"/>
        <w:spacing w:after="120"/>
        <w:jc w:val="both"/>
        <w:rPr>
          <w:rFonts w:asciiTheme="minorHAnsi" w:hAnsiTheme="minorHAnsi" w:cstheme="minorHAnsi"/>
          <w:b/>
          <w:sz w:val="24"/>
          <w:szCs w:val="24"/>
        </w:rPr>
      </w:pPr>
    </w:p>
    <w:p w14:paraId="75456218" w14:textId="77777777" w:rsidR="00890525" w:rsidRPr="001B1F5F" w:rsidRDefault="00890525" w:rsidP="00F73E0F">
      <w:pPr>
        <w:pStyle w:val="NoSpacing"/>
        <w:spacing w:after="120"/>
        <w:jc w:val="both"/>
        <w:rPr>
          <w:rFonts w:asciiTheme="minorHAnsi" w:hAnsiTheme="minorHAnsi" w:cstheme="minorHAnsi"/>
          <w:b/>
          <w:sz w:val="24"/>
          <w:szCs w:val="24"/>
        </w:rPr>
      </w:pPr>
    </w:p>
    <w:p w14:paraId="51A3F92B" w14:textId="77777777" w:rsidR="00890525" w:rsidRPr="001B1F5F" w:rsidRDefault="00890525" w:rsidP="00F73E0F">
      <w:pPr>
        <w:pStyle w:val="NoSpacing"/>
        <w:spacing w:after="120"/>
        <w:jc w:val="both"/>
        <w:rPr>
          <w:rFonts w:asciiTheme="minorHAnsi" w:hAnsiTheme="minorHAnsi" w:cstheme="minorHAnsi"/>
          <w:b/>
          <w:sz w:val="24"/>
          <w:szCs w:val="24"/>
        </w:rPr>
      </w:pPr>
    </w:p>
    <w:p w14:paraId="72760286" w14:textId="01D13326" w:rsidR="00BC1696" w:rsidRPr="001B1F5F" w:rsidRDefault="0018729A" w:rsidP="00F73E0F">
      <w:pPr>
        <w:pStyle w:val="NoSpacing"/>
        <w:spacing w:after="120"/>
        <w:jc w:val="both"/>
        <w:rPr>
          <w:rFonts w:asciiTheme="minorHAnsi" w:hAnsiTheme="minorHAnsi" w:cstheme="minorHAnsi"/>
          <w:b/>
          <w:sz w:val="24"/>
          <w:szCs w:val="24"/>
        </w:rPr>
      </w:pPr>
      <w:r w:rsidRPr="001B1F5F">
        <w:rPr>
          <w:rFonts w:asciiTheme="minorHAnsi" w:hAnsiTheme="minorHAnsi" w:cstheme="minorHAnsi"/>
          <w:b/>
          <w:sz w:val="24"/>
          <w:szCs w:val="24"/>
        </w:rPr>
        <w:t>RESULTS AND DISCUSSIONS</w:t>
      </w:r>
    </w:p>
    <w:p w14:paraId="42DDA11A" w14:textId="0BDA7518" w:rsidR="003A3B64" w:rsidRPr="001B1F5F" w:rsidRDefault="003A3B64" w:rsidP="0018729A">
      <w:pPr>
        <w:pStyle w:val="NoSpacing"/>
        <w:jc w:val="both"/>
        <w:rPr>
          <w:rFonts w:asciiTheme="minorHAnsi" w:hAnsiTheme="minorHAnsi" w:cstheme="minorHAnsi"/>
          <w:sz w:val="24"/>
          <w:szCs w:val="24"/>
        </w:rPr>
      </w:pPr>
      <w:r w:rsidRPr="001B1F5F">
        <w:rPr>
          <w:rFonts w:asciiTheme="minorHAnsi" w:hAnsiTheme="minorHAnsi" w:cstheme="minorHAnsi"/>
          <w:sz w:val="24"/>
          <w:szCs w:val="24"/>
        </w:rPr>
        <w:t>Descriptive Statistics</w:t>
      </w:r>
    </w:p>
    <w:p w14:paraId="00EAD7E2" w14:textId="77777777" w:rsidR="003A3B64" w:rsidRPr="001B1F5F" w:rsidRDefault="003A3B64" w:rsidP="00951652">
      <w:pPr>
        <w:pStyle w:val="NoSpacing"/>
        <w:spacing w:after="240"/>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Based on Table 2, it is known that the number of observations is 330, with the mean value of the dependent variable (TAXOCF) being 0.36178 or 36.178%.</w:t>
      </w:r>
    </w:p>
    <w:p w14:paraId="344BBB8D" w14:textId="69A8E7BD" w:rsidR="000F5FDE" w:rsidRPr="001B1F5F" w:rsidRDefault="003A3B64" w:rsidP="0018729A">
      <w:pPr>
        <w:pStyle w:val="NoSpacing"/>
        <w:jc w:val="both"/>
        <w:rPr>
          <w:rFonts w:asciiTheme="minorHAnsi" w:hAnsiTheme="minorHAnsi" w:cstheme="minorHAnsi"/>
          <w:sz w:val="24"/>
          <w:szCs w:val="24"/>
        </w:rPr>
      </w:pPr>
      <w:r w:rsidRPr="001B1F5F">
        <w:rPr>
          <w:rFonts w:asciiTheme="minorHAnsi" w:hAnsiTheme="minorHAnsi" w:cstheme="minorHAnsi"/>
          <w:sz w:val="24"/>
          <w:szCs w:val="24"/>
        </w:rPr>
        <w:t>Table 2. Descriptive Statistics</w:t>
      </w:r>
    </w:p>
    <w:tbl>
      <w:tblPr>
        <w:tblpPr w:leftFromText="180" w:rightFromText="180" w:vertAnchor="text" w:horzAnchor="margin" w:tblpY="323"/>
        <w:tblW w:w="9432" w:type="dxa"/>
        <w:tblLook w:val="04A0" w:firstRow="1" w:lastRow="0" w:firstColumn="1" w:lastColumn="0" w:noHBand="0" w:noVBand="1"/>
      </w:tblPr>
      <w:tblGrid>
        <w:gridCol w:w="1278"/>
        <w:gridCol w:w="1034"/>
        <w:gridCol w:w="1424"/>
        <w:gridCol w:w="1424"/>
        <w:gridCol w:w="1424"/>
        <w:gridCol w:w="1424"/>
        <w:gridCol w:w="1424"/>
      </w:tblGrid>
      <w:tr w:rsidR="00C07CE6" w:rsidRPr="001B1F5F" w14:paraId="4EFD61B9" w14:textId="77777777" w:rsidTr="00605EDC">
        <w:trPr>
          <w:trHeight w:val="268"/>
        </w:trPr>
        <w:tc>
          <w:tcPr>
            <w:tcW w:w="1278" w:type="dxa"/>
            <w:tcBorders>
              <w:top w:val="single" w:sz="4" w:space="0" w:color="auto"/>
              <w:left w:val="nil"/>
              <w:bottom w:val="single" w:sz="4" w:space="0" w:color="auto"/>
              <w:right w:val="nil"/>
            </w:tcBorders>
            <w:shd w:val="clear" w:color="auto" w:fill="auto"/>
            <w:noWrap/>
            <w:vAlign w:val="center"/>
            <w:hideMark/>
          </w:tcPr>
          <w:p w14:paraId="1D3C611D" w14:textId="77777777" w:rsidR="003A3B64" w:rsidRPr="001B1F5F" w:rsidRDefault="003A3B64" w:rsidP="003A3B64">
            <w:pPr>
              <w:pStyle w:val="NoSpacing"/>
              <w:ind w:firstLine="720"/>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lastRenderedPageBreak/>
              <w:t> </w:t>
            </w:r>
          </w:p>
        </w:tc>
        <w:tc>
          <w:tcPr>
            <w:tcW w:w="1034" w:type="dxa"/>
            <w:tcBorders>
              <w:top w:val="single" w:sz="4" w:space="0" w:color="auto"/>
              <w:left w:val="nil"/>
              <w:bottom w:val="single" w:sz="4" w:space="0" w:color="auto"/>
              <w:right w:val="nil"/>
            </w:tcBorders>
            <w:shd w:val="clear" w:color="auto" w:fill="auto"/>
            <w:noWrap/>
            <w:vAlign w:val="center"/>
            <w:hideMark/>
          </w:tcPr>
          <w:p w14:paraId="30664CFC" w14:textId="77777777"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N</w:t>
            </w:r>
          </w:p>
        </w:tc>
        <w:tc>
          <w:tcPr>
            <w:tcW w:w="1424" w:type="dxa"/>
            <w:tcBorders>
              <w:top w:val="single" w:sz="4" w:space="0" w:color="auto"/>
              <w:left w:val="nil"/>
              <w:bottom w:val="single" w:sz="4" w:space="0" w:color="auto"/>
              <w:right w:val="nil"/>
            </w:tcBorders>
            <w:shd w:val="clear" w:color="auto" w:fill="auto"/>
            <w:noWrap/>
            <w:vAlign w:val="center"/>
            <w:hideMark/>
          </w:tcPr>
          <w:p w14:paraId="5FA422E8" w14:textId="4525C257" w:rsidR="003A3B64" w:rsidRPr="001B1F5F" w:rsidRDefault="003A3B64" w:rsidP="00C07CE6">
            <w:pPr>
              <w:pStyle w:val="NoSpacing"/>
              <w:jc w:val="both"/>
              <w:rPr>
                <w:rFonts w:asciiTheme="minorHAnsi" w:hAnsiTheme="minorHAnsi" w:cstheme="minorHAnsi"/>
                <w:i/>
                <w:iCs/>
                <w:sz w:val="24"/>
                <w:szCs w:val="24"/>
                <w:lang w:val="id-ID"/>
              </w:rPr>
            </w:pPr>
            <w:r w:rsidRPr="001B1F5F">
              <w:rPr>
                <w:rFonts w:asciiTheme="minorHAnsi" w:hAnsiTheme="minorHAnsi" w:cstheme="minorHAnsi"/>
                <w:i/>
                <w:iCs/>
                <w:sz w:val="24"/>
                <w:szCs w:val="24"/>
                <w:lang w:val="id-ID"/>
              </w:rPr>
              <w:t>Mean</w:t>
            </w:r>
          </w:p>
        </w:tc>
        <w:tc>
          <w:tcPr>
            <w:tcW w:w="1424" w:type="dxa"/>
            <w:tcBorders>
              <w:top w:val="single" w:sz="4" w:space="0" w:color="auto"/>
              <w:left w:val="nil"/>
              <w:bottom w:val="single" w:sz="4" w:space="0" w:color="auto"/>
              <w:right w:val="nil"/>
            </w:tcBorders>
            <w:shd w:val="clear" w:color="auto" w:fill="auto"/>
            <w:noWrap/>
            <w:vAlign w:val="center"/>
            <w:hideMark/>
          </w:tcPr>
          <w:p w14:paraId="36DC036F" w14:textId="307E81AC" w:rsidR="003A3B64" w:rsidRPr="001B1F5F" w:rsidRDefault="003A3B64" w:rsidP="00C07CE6">
            <w:pPr>
              <w:pStyle w:val="NoSpacing"/>
              <w:jc w:val="both"/>
              <w:rPr>
                <w:rFonts w:asciiTheme="minorHAnsi" w:hAnsiTheme="minorHAnsi" w:cstheme="minorHAnsi"/>
                <w:i/>
                <w:iCs/>
                <w:sz w:val="24"/>
                <w:szCs w:val="24"/>
                <w:lang w:val="id-ID"/>
              </w:rPr>
            </w:pPr>
            <w:r w:rsidRPr="001B1F5F">
              <w:rPr>
                <w:rFonts w:asciiTheme="minorHAnsi" w:hAnsiTheme="minorHAnsi" w:cstheme="minorHAnsi"/>
                <w:i/>
                <w:iCs/>
                <w:sz w:val="24"/>
                <w:szCs w:val="24"/>
                <w:lang w:val="id-ID"/>
              </w:rPr>
              <w:t>Median</w:t>
            </w:r>
          </w:p>
        </w:tc>
        <w:tc>
          <w:tcPr>
            <w:tcW w:w="1424" w:type="dxa"/>
            <w:tcBorders>
              <w:top w:val="single" w:sz="4" w:space="0" w:color="auto"/>
              <w:left w:val="nil"/>
              <w:bottom w:val="single" w:sz="4" w:space="0" w:color="auto"/>
              <w:right w:val="nil"/>
            </w:tcBorders>
            <w:shd w:val="clear" w:color="auto" w:fill="auto"/>
            <w:noWrap/>
            <w:vAlign w:val="center"/>
            <w:hideMark/>
          </w:tcPr>
          <w:p w14:paraId="317C9B68" w14:textId="004160A1" w:rsidR="003A3B64" w:rsidRPr="001B1F5F" w:rsidRDefault="003A3B64" w:rsidP="00C07CE6">
            <w:pPr>
              <w:pStyle w:val="NoSpacing"/>
              <w:jc w:val="both"/>
              <w:rPr>
                <w:rFonts w:asciiTheme="minorHAnsi" w:hAnsiTheme="minorHAnsi" w:cstheme="minorHAnsi"/>
                <w:i/>
                <w:iCs/>
                <w:sz w:val="24"/>
                <w:szCs w:val="24"/>
                <w:lang w:val="id-ID"/>
              </w:rPr>
            </w:pPr>
            <w:r w:rsidRPr="001B1F5F">
              <w:rPr>
                <w:rFonts w:asciiTheme="minorHAnsi" w:hAnsiTheme="minorHAnsi" w:cstheme="minorHAnsi"/>
                <w:i/>
                <w:iCs/>
                <w:sz w:val="24"/>
                <w:szCs w:val="24"/>
                <w:lang w:val="id-ID"/>
              </w:rPr>
              <w:t>Maximum</w:t>
            </w:r>
          </w:p>
        </w:tc>
        <w:tc>
          <w:tcPr>
            <w:tcW w:w="1424" w:type="dxa"/>
            <w:tcBorders>
              <w:top w:val="single" w:sz="4" w:space="0" w:color="auto"/>
              <w:left w:val="nil"/>
              <w:bottom w:val="single" w:sz="4" w:space="0" w:color="auto"/>
              <w:right w:val="nil"/>
            </w:tcBorders>
            <w:shd w:val="clear" w:color="auto" w:fill="auto"/>
            <w:noWrap/>
            <w:vAlign w:val="center"/>
            <w:hideMark/>
          </w:tcPr>
          <w:p w14:paraId="1462B5B5" w14:textId="6724BC5B" w:rsidR="003A3B64" w:rsidRPr="001B1F5F" w:rsidRDefault="003A3B64" w:rsidP="00C07CE6">
            <w:pPr>
              <w:pStyle w:val="NoSpacing"/>
              <w:jc w:val="both"/>
              <w:rPr>
                <w:rFonts w:asciiTheme="minorHAnsi" w:hAnsiTheme="minorHAnsi" w:cstheme="minorHAnsi"/>
                <w:i/>
                <w:iCs/>
                <w:sz w:val="24"/>
                <w:szCs w:val="24"/>
                <w:lang w:val="id-ID"/>
              </w:rPr>
            </w:pPr>
            <w:r w:rsidRPr="001B1F5F">
              <w:rPr>
                <w:rFonts w:asciiTheme="minorHAnsi" w:hAnsiTheme="minorHAnsi" w:cstheme="minorHAnsi"/>
                <w:i/>
                <w:iCs/>
                <w:sz w:val="24"/>
                <w:szCs w:val="24"/>
                <w:lang w:val="id-ID"/>
              </w:rPr>
              <w:t>Minimum</w:t>
            </w:r>
          </w:p>
        </w:tc>
        <w:tc>
          <w:tcPr>
            <w:tcW w:w="1424" w:type="dxa"/>
            <w:tcBorders>
              <w:top w:val="single" w:sz="4" w:space="0" w:color="auto"/>
              <w:left w:val="nil"/>
              <w:bottom w:val="single" w:sz="4" w:space="0" w:color="auto"/>
              <w:right w:val="nil"/>
            </w:tcBorders>
            <w:shd w:val="clear" w:color="auto" w:fill="auto"/>
            <w:noWrap/>
            <w:vAlign w:val="center"/>
            <w:hideMark/>
          </w:tcPr>
          <w:p w14:paraId="29E19AD3" w14:textId="075ACDEC" w:rsidR="003A3B64" w:rsidRPr="001B1F5F" w:rsidRDefault="003A3B64" w:rsidP="00605EDC">
            <w:pPr>
              <w:pStyle w:val="NoSpacing"/>
              <w:rPr>
                <w:rFonts w:asciiTheme="minorHAnsi" w:hAnsiTheme="minorHAnsi" w:cstheme="minorHAnsi"/>
                <w:i/>
                <w:iCs/>
                <w:sz w:val="24"/>
                <w:szCs w:val="24"/>
                <w:lang w:val="id-ID"/>
              </w:rPr>
            </w:pPr>
            <w:r w:rsidRPr="001B1F5F">
              <w:rPr>
                <w:rFonts w:asciiTheme="minorHAnsi" w:hAnsiTheme="minorHAnsi" w:cstheme="minorHAnsi"/>
                <w:i/>
                <w:iCs/>
                <w:sz w:val="24"/>
                <w:szCs w:val="24"/>
                <w:lang w:val="id-ID"/>
              </w:rPr>
              <w:t>Std. Dev.</w:t>
            </w:r>
          </w:p>
        </w:tc>
      </w:tr>
      <w:tr w:rsidR="00C07CE6" w:rsidRPr="001B1F5F" w14:paraId="193EDEB1" w14:textId="77777777" w:rsidTr="00605EDC">
        <w:trPr>
          <w:trHeight w:val="268"/>
        </w:trPr>
        <w:tc>
          <w:tcPr>
            <w:tcW w:w="1278" w:type="dxa"/>
            <w:tcBorders>
              <w:top w:val="nil"/>
              <w:left w:val="nil"/>
              <w:bottom w:val="nil"/>
              <w:right w:val="nil"/>
            </w:tcBorders>
            <w:shd w:val="clear" w:color="auto" w:fill="auto"/>
            <w:noWrap/>
            <w:vAlign w:val="bottom"/>
            <w:hideMark/>
          </w:tcPr>
          <w:p w14:paraId="699AE493" w14:textId="77777777"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TAXOCF</w:t>
            </w:r>
          </w:p>
        </w:tc>
        <w:tc>
          <w:tcPr>
            <w:tcW w:w="1034" w:type="dxa"/>
            <w:tcBorders>
              <w:top w:val="nil"/>
              <w:left w:val="nil"/>
              <w:bottom w:val="nil"/>
              <w:right w:val="nil"/>
            </w:tcBorders>
            <w:shd w:val="clear" w:color="auto" w:fill="auto"/>
            <w:noWrap/>
            <w:vAlign w:val="bottom"/>
            <w:hideMark/>
          </w:tcPr>
          <w:p w14:paraId="763FCA98" w14:textId="529E9236"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330</w:t>
            </w:r>
          </w:p>
        </w:tc>
        <w:tc>
          <w:tcPr>
            <w:tcW w:w="1424" w:type="dxa"/>
            <w:tcBorders>
              <w:top w:val="nil"/>
              <w:left w:val="nil"/>
              <w:bottom w:val="nil"/>
              <w:right w:val="nil"/>
            </w:tcBorders>
            <w:shd w:val="clear" w:color="auto" w:fill="auto"/>
            <w:noWrap/>
            <w:vAlign w:val="bottom"/>
            <w:hideMark/>
          </w:tcPr>
          <w:p w14:paraId="084C1857" w14:textId="3B9F9729"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0.361708</w:t>
            </w:r>
          </w:p>
        </w:tc>
        <w:tc>
          <w:tcPr>
            <w:tcW w:w="1424" w:type="dxa"/>
            <w:tcBorders>
              <w:top w:val="nil"/>
              <w:left w:val="nil"/>
              <w:bottom w:val="nil"/>
              <w:right w:val="nil"/>
            </w:tcBorders>
            <w:shd w:val="clear" w:color="auto" w:fill="auto"/>
            <w:noWrap/>
            <w:vAlign w:val="bottom"/>
            <w:hideMark/>
          </w:tcPr>
          <w:p w14:paraId="6A4E8377" w14:textId="39B2369D"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0.282396</w:t>
            </w:r>
          </w:p>
        </w:tc>
        <w:tc>
          <w:tcPr>
            <w:tcW w:w="1424" w:type="dxa"/>
            <w:tcBorders>
              <w:top w:val="nil"/>
              <w:left w:val="nil"/>
              <w:bottom w:val="nil"/>
              <w:right w:val="nil"/>
            </w:tcBorders>
            <w:shd w:val="clear" w:color="auto" w:fill="auto"/>
            <w:noWrap/>
            <w:vAlign w:val="bottom"/>
            <w:hideMark/>
          </w:tcPr>
          <w:p w14:paraId="61165F78" w14:textId="68FA20E6"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1.000000</w:t>
            </w:r>
          </w:p>
        </w:tc>
        <w:tc>
          <w:tcPr>
            <w:tcW w:w="1424" w:type="dxa"/>
            <w:tcBorders>
              <w:top w:val="nil"/>
              <w:left w:val="nil"/>
              <w:bottom w:val="nil"/>
              <w:right w:val="nil"/>
            </w:tcBorders>
            <w:shd w:val="clear" w:color="auto" w:fill="auto"/>
            <w:noWrap/>
            <w:vAlign w:val="bottom"/>
            <w:hideMark/>
          </w:tcPr>
          <w:p w14:paraId="3259665F" w14:textId="0E755B3D"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0.000133</w:t>
            </w:r>
          </w:p>
        </w:tc>
        <w:tc>
          <w:tcPr>
            <w:tcW w:w="1424" w:type="dxa"/>
            <w:tcBorders>
              <w:top w:val="nil"/>
              <w:left w:val="nil"/>
              <w:bottom w:val="nil"/>
              <w:right w:val="nil"/>
            </w:tcBorders>
            <w:shd w:val="clear" w:color="auto" w:fill="auto"/>
            <w:noWrap/>
            <w:vAlign w:val="bottom"/>
            <w:hideMark/>
          </w:tcPr>
          <w:p w14:paraId="2AB913F1" w14:textId="60455A97" w:rsidR="003A3B64" w:rsidRPr="001B1F5F" w:rsidRDefault="003A3B64" w:rsidP="00605EDC">
            <w:pPr>
              <w:pStyle w:val="NoSpacing"/>
              <w:rPr>
                <w:rFonts w:asciiTheme="minorHAnsi" w:hAnsiTheme="minorHAnsi" w:cstheme="minorHAnsi"/>
                <w:sz w:val="24"/>
                <w:szCs w:val="24"/>
                <w:lang w:val="id-ID"/>
              </w:rPr>
            </w:pPr>
            <w:r w:rsidRPr="001B1F5F">
              <w:rPr>
                <w:rFonts w:asciiTheme="minorHAnsi" w:hAnsiTheme="minorHAnsi" w:cstheme="minorHAnsi"/>
                <w:sz w:val="24"/>
                <w:szCs w:val="24"/>
                <w:lang w:val="id-ID"/>
              </w:rPr>
              <w:t>0.277611</w:t>
            </w:r>
          </w:p>
        </w:tc>
      </w:tr>
      <w:tr w:rsidR="00C07CE6" w:rsidRPr="001B1F5F" w14:paraId="2D7624E5" w14:textId="77777777" w:rsidTr="00605EDC">
        <w:trPr>
          <w:trHeight w:val="268"/>
        </w:trPr>
        <w:tc>
          <w:tcPr>
            <w:tcW w:w="1278" w:type="dxa"/>
            <w:tcBorders>
              <w:top w:val="nil"/>
              <w:left w:val="nil"/>
              <w:bottom w:val="nil"/>
              <w:right w:val="nil"/>
            </w:tcBorders>
            <w:shd w:val="clear" w:color="auto" w:fill="auto"/>
            <w:noWrap/>
            <w:vAlign w:val="bottom"/>
            <w:hideMark/>
          </w:tcPr>
          <w:p w14:paraId="1BF1F37C" w14:textId="77777777" w:rsidR="003A3B64" w:rsidRPr="001B1F5F" w:rsidRDefault="003A3B64" w:rsidP="00C07CE6">
            <w:pPr>
              <w:pStyle w:val="NoSpacing"/>
              <w:ind w:right="-258"/>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TAXFORCE</w:t>
            </w:r>
          </w:p>
        </w:tc>
        <w:tc>
          <w:tcPr>
            <w:tcW w:w="1034" w:type="dxa"/>
            <w:tcBorders>
              <w:top w:val="nil"/>
              <w:left w:val="nil"/>
              <w:bottom w:val="nil"/>
              <w:right w:val="nil"/>
            </w:tcBorders>
            <w:shd w:val="clear" w:color="auto" w:fill="auto"/>
            <w:noWrap/>
            <w:vAlign w:val="bottom"/>
            <w:hideMark/>
          </w:tcPr>
          <w:p w14:paraId="2C16A4F4" w14:textId="285C0413"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330</w:t>
            </w:r>
          </w:p>
        </w:tc>
        <w:tc>
          <w:tcPr>
            <w:tcW w:w="1424" w:type="dxa"/>
            <w:tcBorders>
              <w:top w:val="nil"/>
              <w:left w:val="nil"/>
              <w:bottom w:val="nil"/>
              <w:right w:val="nil"/>
            </w:tcBorders>
            <w:shd w:val="clear" w:color="auto" w:fill="auto"/>
            <w:noWrap/>
            <w:vAlign w:val="bottom"/>
            <w:hideMark/>
          </w:tcPr>
          <w:p w14:paraId="7BC2F45C" w14:textId="7476DBC2"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5.803895</w:t>
            </w:r>
          </w:p>
        </w:tc>
        <w:tc>
          <w:tcPr>
            <w:tcW w:w="1424" w:type="dxa"/>
            <w:tcBorders>
              <w:top w:val="nil"/>
              <w:left w:val="nil"/>
              <w:bottom w:val="nil"/>
              <w:right w:val="nil"/>
            </w:tcBorders>
            <w:shd w:val="clear" w:color="auto" w:fill="auto"/>
            <w:noWrap/>
            <w:vAlign w:val="bottom"/>
            <w:hideMark/>
          </w:tcPr>
          <w:p w14:paraId="012577D2" w14:textId="04E5F7D6"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0.000000</w:t>
            </w:r>
          </w:p>
        </w:tc>
        <w:tc>
          <w:tcPr>
            <w:tcW w:w="1424" w:type="dxa"/>
            <w:tcBorders>
              <w:top w:val="nil"/>
              <w:left w:val="nil"/>
              <w:bottom w:val="nil"/>
              <w:right w:val="nil"/>
            </w:tcBorders>
            <w:shd w:val="clear" w:color="auto" w:fill="auto"/>
            <w:noWrap/>
            <w:vAlign w:val="bottom"/>
            <w:hideMark/>
          </w:tcPr>
          <w:p w14:paraId="15725349" w14:textId="5ECCFE81"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22.05558</w:t>
            </w:r>
          </w:p>
        </w:tc>
        <w:tc>
          <w:tcPr>
            <w:tcW w:w="1424" w:type="dxa"/>
            <w:tcBorders>
              <w:top w:val="nil"/>
              <w:left w:val="nil"/>
              <w:bottom w:val="nil"/>
              <w:right w:val="nil"/>
            </w:tcBorders>
            <w:shd w:val="clear" w:color="auto" w:fill="auto"/>
            <w:noWrap/>
            <w:vAlign w:val="bottom"/>
            <w:hideMark/>
          </w:tcPr>
          <w:p w14:paraId="5DF1E080" w14:textId="4739E3A3"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0.000000</w:t>
            </w:r>
          </w:p>
        </w:tc>
        <w:tc>
          <w:tcPr>
            <w:tcW w:w="1424" w:type="dxa"/>
            <w:tcBorders>
              <w:top w:val="nil"/>
              <w:left w:val="nil"/>
              <w:bottom w:val="nil"/>
              <w:right w:val="nil"/>
            </w:tcBorders>
            <w:shd w:val="clear" w:color="auto" w:fill="auto"/>
            <w:noWrap/>
            <w:vAlign w:val="bottom"/>
            <w:hideMark/>
          </w:tcPr>
          <w:p w14:paraId="233E70B2" w14:textId="5FB1498A" w:rsidR="003A3B64" w:rsidRPr="001B1F5F" w:rsidRDefault="003A3B64" w:rsidP="00605EDC">
            <w:pPr>
              <w:pStyle w:val="NoSpacing"/>
              <w:rPr>
                <w:rFonts w:asciiTheme="minorHAnsi" w:hAnsiTheme="minorHAnsi" w:cstheme="minorHAnsi"/>
                <w:sz w:val="24"/>
                <w:szCs w:val="24"/>
                <w:lang w:val="id-ID"/>
              </w:rPr>
            </w:pPr>
            <w:r w:rsidRPr="001B1F5F">
              <w:rPr>
                <w:rFonts w:asciiTheme="minorHAnsi" w:hAnsiTheme="minorHAnsi" w:cstheme="minorHAnsi"/>
                <w:sz w:val="24"/>
                <w:szCs w:val="24"/>
                <w:lang w:val="id-ID"/>
              </w:rPr>
              <w:t>7.879850</w:t>
            </w:r>
          </w:p>
        </w:tc>
      </w:tr>
      <w:tr w:rsidR="00C07CE6" w:rsidRPr="001B1F5F" w14:paraId="77F1F10F" w14:textId="77777777" w:rsidTr="00605EDC">
        <w:trPr>
          <w:trHeight w:val="268"/>
        </w:trPr>
        <w:tc>
          <w:tcPr>
            <w:tcW w:w="1278" w:type="dxa"/>
            <w:tcBorders>
              <w:top w:val="nil"/>
              <w:left w:val="nil"/>
              <w:bottom w:val="nil"/>
              <w:right w:val="nil"/>
            </w:tcBorders>
            <w:shd w:val="clear" w:color="auto" w:fill="auto"/>
            <w:noWrap/>
            <w:vAlign w:val="bottom"/>
            <w:hideMark/>
          </w:tcPr>
          <w:p w14:paraId="287242EE" w14:textId="77777777"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RPTRAN</w:t>
            </w:r>
          </w:p>
        </w:tc>
        <w:tc>
          <w:tcPr>
            <w:tcW w:w="1034" w:type="dxa"/>
            <w:tcBorders>
              <w:top w:val="nil"/>
              <w:left w:val="nil"/>
              <w:bottom w:val="nil"/>
              <w:right w:val="nil"/>
            </w:tcBorders>
            <w:shd w:val="clear" w:color="auto" w:fill="auto"/>
            <w:noWrap/>
            <w:vAlign w:val="bottom"/>
            <w:hideMark/>
          </w:tcPr>
          <w:p w14:paraId="427E60DA" w14:textId="6D151A4D"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330</w:t>
            </w:r>
          </w:p>
        </w:tc>
        <w:tc>
          <w:tcPr>
            <w:tcW w:w="1424" w:type="dxa"/>
            <w:tcBorders>
              <w:top w:val="nil"/>
              <w:left w:val="nil"/>
              <w:bottom w:val="nil"/>
              <w:right w:val="nil"/>
            </w:tcBorders>
            <w:shd w:val="clear" w:color="auto" w:fill="auto"/>
            <w:noWrap/>
            <w:vAlign w:val="bottom"/>
            <w:hideMark/>
          </w:tcPr>
          <w:p w14:paraId="05567479" w14:textId="0ED9867C"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13.51885</w:t>
            </w:r>
          </w:p>
        </w:tc>
        <w:tc>
          <w:tcPr>
            <w:tcW w:w="1424" w:type="dxa"/>
            <w:tcBorders>
              <w:top w:val="nil"/>
              <w:left w:val="nil"/>
              <w:bottom w:val="nil"/>
              <w:right w:val="nil"/>
            </w:tcBorders>
            <w:shd w:val="clear" w:color="auto" w:fill="auto"/>
            <w:noWrap/>
            <w:vAlign w:val="bottom"/>
            <w:hideMark/>
          </w:tcPr>
          <w:p w14:paraId="60BF014C" w14:textId="05617535"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1.580000</w:t>
            </w:r>
          </w:p>
        </w:tc>
        <w:tc>
          <w:tcPr>
            <w:tcW w:w="1424" w:type="dxa"/>
            <w:tcBorders>
              <w:top w:val="nil"/>
              <w:left w:val="nil"/>
              <w:bottom w:val="nil"/>
              <w:right w:val="nil"/>
            </w:tcBorders>
            <w:shd w:val="clear" w:color="auto" w:fill="auto"/>
            <w:noWrap/>
            <w:vAlign w:val="bottom"/>
            <w:hideMark/>
          </w:tcPr>
          <w:p w14:paraId="1AA1BB6B" w14:textId="794C8ABA"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92.71000</w:t>
            </w:r>
          </w:p>
        </w:tc>
        <w:tc>
          <w:tcPr>
            <w:tcW w:w="1424" w:type="dxa"/>
            <w:tcBorders>
              <w:top w:val="nil"/>
              <w:left w:val="nil"/>
              <w:bottom w:val="nil"/>
              <w:right w:val="nil"/>
            </w:tcBorders>
            <w:shd w:val="clear" w:color="auto" w:fill="auto"/>
            <w:noWrap/>
            <w:vAlign w:val="bottom"/>
            <w:hideMark/>
          </w:tcPr>
          <w:p w14:paraId="499FC68C" w14:textId="12DED210"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0.000000</w:t>
            </w:r>
          </w:p>
        </w:tc>
        <w:tc>
          <w:tcPr>
            <w:tcW w:w="1424" w:type="dxa"/>
            <w:tcBorders>
              <w:top w:val="nil"/>
              <w:left w:val="nil"/>
              <w:bottom w:val="nil"/>
              <w:right w:val="nil"/>
            </w:tcBorders>
            <w:shd w:val="clear" w:color="auto" w:fill="auto"/>
            <w:noWrap/>
            <w:vAlign w:val="bottom"/>
            <w:hideMark/>
          </w:tcPr>
          <w:p w14:paraId="1190B810" w14:textId="2F5F288C" w:rsidR="003A3B64" w:rsidRPr="001B1F5F" w:rsidRDefault="003A3B64" w:rsidP="00605EDC">
            <w:pPr>
              <w:pStyle w:val="NoSpacing"/>
              <w:rPr>
                <w:rFonts w:asciiTheme="minorHAnsi" w:hAnsiTheme="minorHAnsi" w:cstheme="minorHAnsi"/>
                <w:sz w:val="24"/>
                <w:szCs w:val="24"/>
                <w:lang w:val="id-ID"/>
              </w:rPr>
            </w:pPr>
            <w:r w:rsidRPr="001B1F5F">
              <w:rPr>
                <w:rFonts w:asciiTheme="minorHAnsi" w:hAnsiTheme="minorHAnsi" w:cstheme="minorHAnsi"/>
                <w:sz w:val="24"/>
                <w:szCs w:val="24"/>
                <w:lang w:val="id-ID"/>
              </w:rPr>
              <w:t>24.32691</w:t>
            </w:r>
          </w:p>
        </w:tc>
      </w:tr>
      <w:tr w:rsidR="00C07CE6" w:rsidRPr="001B1F5F" w14:paraId="61DDB5E2" w14:textId="77777777" w:rsidTr="00605EDC">
        <w:trPr>
          <w:trHeight w:val="268"/>
        </w:trPr>
        <w:tc>
          <w:tcPr>
            <w:tcW w:w="1278" w:type="dxa"/>
            <w:tcBorders>
              <w:top w:val="nil"/>
              <w:left w:val="nil"/>
              <w:bottom w:val="nil"/>
              <w:right w:val="nil"/>
            </w:tcBorders>
            <w:shd w:val="clear" w:color="auto" w:fill="auto"/>
            <w:noWrap/>
            <w:vAlign w:val="bottom"/>
            <w:hideMark/>
          </w:tcPr>
          <w:p w14:paraId="17B9D5F2" w14:textId="77777777"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KAP</w:t>
            </w:r>
          </w:p>
        </w:tc>
        <w:tc>
          <w:tcPr>
            <w:tcW w:w="1034" w:type="dxa"/>
            <w:tcBorders>
              <w:top w:val="nil"/>
              <w:left w:val="nil"/>
              <w:bottom w:val="nil"/>
              <w:right w:val="nil"/>
            </w:tcBorders>
            <w:shd w:val="clear" w:color="auto" w:fill="auto"/>
            <w:noWrap/>
            <w:vAlign w:val="bottom"/>
            <w:hideMark/>
          </w:tcPr>
          <w:p w14:paraId="4F516461" w14:textId="5D9EEE29"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330</w:t>
            </w:r>
          </w:p>
        </w:tc>
        <w:tc>
          <w:tcPr>
            <w:tcW w:w="1424" w:type="dxa"/>
            <w:tcBorders>
              <w:top w:val="nil"/>
              <w:left w:val="nil"/>
              <w:bottom w:val="nil"/>
              <w:right w:val="nil"/>
            </w:tcBorders>
            <w:shd w:val="clear" w:color="auto" w:fill="auto"/>
            <w:noWrap/>
            <w:vAlign w:val="bottom"/>
            <w:hideMark/>
          </w:tcPr>
          <w:p w14:paraId="0084B150" w14:textId="21186A3F"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0.618182</w:t>
            </w:r>
          </w:p>
        </w:tc>
        <w:tc>
          <w:tcPr>
            <w:tcW w:w="1424" w:type="dxa"/>
            <w:tcBorders>
              <w:top w:val="nil"/>
              <w:left w:val="nil"/>
              <w:bottom w:val="nil"/>
              <w:right w:val="nil"/>
            </w:tcBorders>
            <w:shd w:val="clear" w:color="auto" w:fill="auto"/>
            <w:noWrap/>
            <w:vAlign w:val="bottom"/>
            <w:hideMark/>
          </w:tcPr>
          <w:p w14:paraId="7D92F5E4" w14:textId="06DA2908"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1.000000</w:t>
            </w:r>
          </w:p>
        </w:tc>
        <w:tc>
          <w:tcPr>
            <w:tcW w:w="1424" w:type="dxa"/>
            <w:tcBorders>
              <w:top w:val="nil"/>
              <w:left w:val="nil"/>
              <w:bottom w:val="nil"/>
              <w:right w:val="nil"/>
            </w:tcBorders>
            <w:shd w:val="clear" w:color="auto" w:fill="auto"/>
            <w:noWrap/>
            <w:vAlign w:val="bottom"/>
            <w:hideMark/>
          </w:tcPr>
          <w:p w14:paraId="09F03600" w14:textId="0873090B"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1.000000</w:t>
            </w:r>
          </w:p>
        </w:tc>
        <w:tc>
          <w:tcPr>
            <w:tcW w:w="1424" w:type="dxa"/>
            <w:tcBorders>
              <w:top w:val="nil"/>
              <w:left w:val="nil"/>
              <w:bottom w:val="nil"/>
              <w:right w:val="nil"/>
            </w:tcBorders>
            <w:shd w:val="clear" w:color="auto" w:fill="auto"/>
            <w:noWrap/>
            <w:vAlign w:val="bottom"/>
            <w:hideMark/>
          </w:tcPr>
          <w:p w14:paraId="5F545AEA" w14:textId="092D6E3B"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0.000000</w:t>
            </w:r>
          </w:p>
        </w:tc>
        <w:tc>
          <w:tcPr>
            <w:tcW w:w="1424" w:type="dxa"/>
            <w:tcBorders>
              <w:top w:val="nil"/>
              <w:left w:val="nil"/>
              <w:bottom w:val="nil"/>
              <w:right w:val="nil"/>
            </w:tcBorders>
            <w:shd w:val="clear" w:color="auto" w:fill="auto"/>
            <w:noWrap/>
            <w:vAlign w:val="bottom"/>
            <w:hideMark/>
          </w:tcPr>
          <w:p w14:paraId="4230B6B3" w14:textId="70A34E89" w:rsidR="003A3B64" w:rsidRPr="001B1F5F" w:rsidRDefault="003A3B64" w:rsidP="00605EDC">
            <w:pPr>
              <w:pStyle w:val="NoSpacing"/>
              <w:rPr>
                <w:rFonts w:asciiTheme="minorHAnsi" w:hAnsiTheme="minorHAnsi" w:cstheme="minorHAnsi"/>
                <w:sz w:val="24"/>
                <w:szCs w:val="24"/>
                <w:lang w:val="id-ID"/>
              </w:rPr>
            </w:pPr>
            <w:r w:rsidRPr="001B1F5F">
              <w:rPr>
                <w:rFonts w:asciiTheme="minorHAnsi" w:hAnsiTheme="minorHAnsi" w:cstheme="minorHAnsi"/>
                <w:sz w:val="24"/>
                <w:szCs w:val="24"/>
                <w:lang w:val="id-ID"/>
              </w:rPr>
              <w:t>0.486570</w:t>
            </w:r>
          </w:p>
        </w:tc>
      </w:tr>
      <w:tr w:rsidR="00C07CE6" w:rsidRPr="001B1F5F" w14:paraId="17E22CBB" w14:textId="77777777" w:rsidTr="00605EDC">
        <w:trPr>
          <w:trHeight w:val="268"/>
        </w:trPr>
        <w:tc>
          <w:tcPr>
            <w:tcW w:w="1278" w:type="dxa"/>
            <w:tcBorders>
              <w:top w:val="nil"/>
              <w:left w:val="nil"/>
              <w:bottom w:val="nil"/>
              <w:right w:val="nil"/>
            </w:tcBorders>
            <w:shd w:val="clear" w:color="auto" w:fill="auto"/>
            <w:noWrap/>
            <w:vAlign w:val="bottom"/>
            <w:hideMark/>
          </w:tcPr>
          <w:p w14:paraId="11979C89" w14:textId="77777777"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SIZE</w:t>
            </w:r>
          </w:p>
        </w:tc>
        <w:tc>
          <w:tcPr>
            <w:tcW w:w="1034" w:type="dxa"/>
            <w:tcBorders>
              <w:top w:val="nil"/>
              <w:left w:val="nil"/>
              <w:bottom w:val="nil"/>
              <w:right w:val="nil"/>
            </w:tcBorders>
            <w:shd w:val="clear" w:color="auto" w:fill="auto"/>
            <w:noWrap/>
            <w:vAlign w:val="bottom"/>
            <w:hideMark/>
          </w:tcPr>
          <w:p w14:paraId="005CE9CC" w14:textId="35239434"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330</w:t>
            </w:r>
          </w:p>
        </w:tc>
        <w:tc>
          <w:tcPr>
            <w:tcW w:w="1424" w:type="dxa"/>
            <w:tcBorders>
              <w:top w:val="nil"/>
              <w:left w:val="nil"/>
              <w:bottom w:val="nil"/>
              <w:right w:val="nil"/>
            </w:tcBorders>
            <w:shd w:val="clear" w:color="auto" w:fill="auto"/>
            <w:noWrap/>
            <w:vAlign w:val="bottom"/>
            <w:hideMark/>
          </w:tcPr>
          <w:p w14:paraId="0781E92A" w14:textId="44C684B8"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22.46481</w:t>
            </w:r>
          </w:p>
        </w:tc>
        <w:tc>
          <w:tcPr>
            <w:tcW w:w="1424" w:type="dxa"/>
            <w:tcBorders>
              <w:top w:val="nil"/>
              <w:left w:val="nil"/>
              <w:bottom w:val="nil"/>
              <w:right w:val="nil"/>
            </w:tcBorders>
            <w:shd w:val="clear" w:color="auto" w:fill="auto"/>
            <w:noWrap/>
            <w:vAlign w:val="bottom"/>
            <w:hideMark/>
          </w:tcPr>
          <w:p w14:paraId="1DDAB0A0" w14:textId="7A64C2E9"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22.26097</w:t>
            </w:r>
          </w:p>
        </w:tc>
        <w:tc>
          <w:tcPr>
            <w:tcW w:w="1424" w:type="dxa"/>
            <w:tcBorders>
              <w:top w:val="nil"/>
              <w:left w:val="nil"/>
              <w:bottom w:val="nil"/>
              <w:right w:val="nil"/>
            </w:tcBorders>
            <w:shd w:val="clear" w:color="auto" w:fill="auto"/>
            <w:noWrap/>
            <w:vAlign w:val="bottom"/>
            <w:hideMark/>
          </w:tcPr>
          <w:p w14:paraId="69B6AD19" w14:textId="402EAE0F"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26.62947</w:t>
            </w:r>
          </w:p>
        </w:tc>
        <w:tc>
          <w:tcPr>
            <w:tcW w:w="1424" w:type="dxa"/>
            <w:tcBorders>
              <w:top w:val="nil"/>
              <w:left w:val="nil"/>
              <w:bottom w:val="nil"/>
              <w:right w:val="nil"/>
            </w:tcBorders>
            <w:shd w:val="clear" w:color="auto" w:fill="auto"/>
            <w:noWrap/>
            <w:vAlign w:val="bottom"/>
            <w:hideMark/>
          </w:tcPr>
          <w:p w14:paraId="201B97E0" w14:textId="2EEA8CAD"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0.000000</w:t>
            </w:r>
          </w:p>
        </w:tc>
        <w:tc>
          <w:tcPr>
            <w:tcW w:w="1424" w:type="dxa"/>
            <w:tcBorders>
              <w:top w:val="nil"/>
              <w:left w:val="nil"/>
              <w:bottom w:val="nil"/>
              <w:right w:val="nil"/>
            </w:tcBorders>
            <w:shd w:val="clear" w:color="auto" w:fill="auto"/>
            <w:noWrap/>
            <w:vAlign w:val="bottom"/>
            <w:hideMark/>
          </w:tcPr>
          <w:p w14:paraId="5D9E2AF0" w14:textId="4408C924" w:rsidR="003A3B64" w:rsidRPr="001B1F5F" w:rsidRDefault="003A3B64" w:rsidP="00605EDC">
            <w:pPr>
              <w:pStyle w:val="NoSpacing"/>
              <w:rPr>
                <w:rFonts w:asciiTheme="minorHAnsi" w:hAnsiTheme="minorHAnsi" w:cstheme="minorHAnsi"/>
                <w:sz w:val="24"/>
                <w:szCs w:val="24"/>
                <w:lang w:val="id-ID"/>
              </w:rPr>
            </w:pPr>
            <w:r w:rsidRPr="001B1F5F">
              <w:rPr>
                <w:rFonts w:asciiTheme="minorHAnsi" w:hAnsiTheme="minorHAnsi" w:cstheme="minorHAnsi"/>
                <w:sz w:val="24"/>
                <w:szCs w:val="24"/>
                <w:lang w:val="id-ID"/>
              </w:rPr>
              <w:t>2.037672</w:t>
            </w:r>
          </w:p>
        </w:tc>
      </w:tr>
      <w:tr w:rsidR="00C07CE6" w:rsidRPr="001B1F5F" w14:paraId="4E2D887B" w14:textId="77777777" w:rsidTr="00605EDC">
        <w:trPr>
          <w:trHeight w:val="268"/>
        </w:trPr>
        <w:tc>
          <w:tcPr>
            <w:tcW w:w="1278" w:type="dxa"/>
            <w:tcBorders>
              <w:top w:val="nil"/>
              <w:left w:val="nil"/>
              <w:bottom w:val="nil"/>
              <w:right w:val="nil"/>
            </w:tcBorders>
            <w:shd w:val="clear" w:color="auto" w:fill="auto"/>
            <w:noWrap/>
            <w:vAlign w:val="bottom"/>
            <w:hideMark/>
          </w:tcPr>
          <w:p w14:paraId="5ADAB8DB" w14:textId="77777777"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LEV</w:t>
            </w:r>
          </w:p>
        </w:tc>
        <w:tc>
          <w:tcPr>
            <w:tcW w:w="1034" w:type="dxa"/>
            <w:tcBorders>
              <w:top w:val="nil"/>
              <w:left w:val="nil"/>
              <w:bottom w:val="nil"/>
              <w:right w:val="nil"/>
            </w:tcBorders>
            <w:shd w:val="clear" w:color="auto" w:fill="auto"/>
            <w:noWrap/>
            <w:vAlign w:val="bottom"/>
            <w:hideMark/>
          </w:tcPr>
          <w:p w14:paraId="13F288DF" w14:textId="30F96BA7"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330</w:t>
            </w:r>
          </w:p>
        </w:tc>
        <w:tc>
          <w:tcPr>
            <w:tcW w:w="1424" w:type="dxa"/>
            <w:tcBorders>
              <w:top w:val="nil"/>
              <w:left w:val="nil"/>
              <w:bottom w:val="nil"/>
              <w:right w:val="nil"/>
            </w:tcBorders>
            <w:shd w:val="clear" w:color="auto" w:fill="auto"/>
            <w:noWrap/>
            <w:vAlign w:val="bottom"/>
            <w:hideMark/>
          </w:tcPr>
          <w:p w14:paraId="5A798849" w14:textId="0EDE6089"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0.390865</w:t>
            </w:r>
          </w:p>
        </w:tc>
        <w:tc>
          <w:tcPr>
            <w:tcW w:w="1424" w:type="dxa"/>
            <w:tcBorders>
              <w:top w:val="nil"/>
              <w:left w:val="nil"/>
              <w:bottom w:val="nil"/>
              <w:right w:val="nil"/>
            </w:tcBorders>
            <w:shd w:val="clear" w:color="auto" w:fill="auto"/>
            <w:noWrap/>
            <w:vAlign w:val="bottom"/>
            <w:hideMark/>
          </w:tcPr>
          <w:p w14:paraId="036E37FB" w14:textId="06966EE4"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0.375599</w:t>
            </w:r>
          </w:p>
        </w:tc>
        <w:tc>
          <w:tcPr>
            <w:tcW w:w="1424" w:type="dxa"/>
            <w:tcBorders>
              <w:top w:val="nil"/>
              <w:left w:val="nil"/>
              <w:bottom w:val="nil"/>
              <w:right w:val="nil"/>
            </w:tcBorders>
            <w:shd w:val="clear" w:color="auto" w:fill="auto"/>
            <w:noWrap/>
            <w:vAlign w:val="bottom"/>
            <w:hideMark/>
          </w:tcPr>
          <w:p w14:paraId="36665B65" w14:textId="59D83EBA"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0.773382</w:t>
            </w:r>
          </w:p>
        </w:tc>
        <w:tc>
          <w:tcPr>
            <w:tcW w:w="1424" w:type="dxa"/>
            <w:tcBorders>
              <w:top w:val="nil"/>
              <w:left w:val="nil"/>
              <w:bottom w:val="nil"/>
              <w:right w:val="nil"/>
            </w:tcBorders>
            <w:shd w:val="clear" w:color="auto" w:fill="auto"/>
            <w:noWrap/>
            <w:vAlign w:val="bottom"/>
            <w:hideMark/>
          </w:tcPr>
          <w:p w14:paraId="0FCD08E9" w14:textId="77238802"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0.000000</w:t>
            </w:r>
          </w:p>
        </w:tc>
        <w:tc>
          <w:tcPr>
            <w:tcW w:w="1424" w:type="dxa"/>
            <w:tcBorders>
              <w:top w:val="nil"/>
              <w:left w:val="nil"/>
              <w:bottom w:val="nil"/>
              <w:right w:val="nil"/>
            </w:tcBorders>
            <w:shd w:val="clear" w:color="auto" w:fill="auto"/>
            <w:noWrap/>
            <w:vAlign w:val="bottom"/>
            <w:hideMark/>
          </w:tcPr>
          <w:p w14:paraId="47DB969B" w14:textId="20194F29" w:rsidR="003A3B64" w:rsidRPr="001B1F5F" w:rsidRDefault="003A3B64" w:rsidP="00605EDC">
            <w:pPr>
              <w:pStyle w:val="NoSpacing"/>
              <w:rPr>
                <w:rFonts w:asciiTheme="minorHAnsi" w:hAnsiTheme="minorHAnsi" w:cstheme="minorHAnsi"/>
                <w:sz w:val="24"/>
                <w:szCs w:val="24"/>
                <w:lang w:val="id-ID"/>
              </w:rPr>
            </w:pPr>
            <w:r w:rsidRPr="001B1F5F">
              <w:rPr>
                <w:rFonts w:asciiTheme="minorHAnsi" w:hAnsiTheme="minorHAnsi" w:cstheme="minorHAnsi"/>
                <w:sz w:val="24"/>
                <w:szCs w:val="24"/>
                <w:lang w:val="id-ID"/>
              </w:rPr>
              <w:t>0.173535</w:t>
            </w:r>
          </w:p>
        </w:tc>
      </w:tr>
      <w:tr w:rsidR="00C07CE6" w:rsidRPr="001B1F5F" w14:paraId="2E69F267" w14:textId="77777777" w:rsidTr="00605EDC">
        <w:trPr>
          <w:trHeight w:val="268"/>
        </w:trPr>
        <w:tc>
          <w:tcPr>
            <w:tcW w:w="1278" w:type="dxa"/>
            <w:tcBorders>
              <w:top w:val="nil"/>
              <w:left w:val="nil"/>
              <w:bottom w:val="nil"/>
              <w:right w:val="nil"/>
            </w:tcBorders>
            <w:shd w:val="clear" w:color="auto" w:fill="auto"/>
            <w:noWrap/>
            <w:vAlign w:val="bottom"/>
            <w:hideMark/>
          </w:tcPr>
          <w:p w14:paraId="43D9BE29" w14:textId="77777777"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ROA</w:t>
            </w:r>
          </w:p>
        </w:tc>
        <w:tc>
          <w:tcPr>
            <w:tcW w:w="1034" w:type="dxa"/>
            <w:tcBorders>
              <w:top w:val="nil"/>
              <w:left w:val="nil"/>
              <w:bottom w:val="nil"/>
              <w:right w:val="nil"/>
            </w:tcBorders>
            <w:shd w:val="clear" w:color="auto" w:fill="auto"/>
            <w:noWrap/>
            <w:vAlign w:val="bottom"/>
            <w:hideMark/>
          </w:tcPr>
          <w:p w14:paraId="1360FED1" w14:textId="6BA3BA8F"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330</w:t>
            </w:r>
          </w:p>
        </w:tc>
        <w:tc>
          <w:tcPr>
            <w:tcW w:w="1424" w:type="dxa"/>
            <w:tcBorders>
              <w:top w:val="nil"/>
              <w:left w:val="nil"/>
              <w:bottom w:val="nil"/>
              <w:right w:val="nil"/>
            </w:tcBorders>
            <w:shd w:val="clear" w:color="auto" w:fill="auto"/>
            <w:noWrap/>
            <w:vAlign w:val="bottom"/>
            <w:hideMark/>
          </w:tcPr>
          <w:p w14:paraId="0B1C5C30" w14:textId="042A2B82"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0.111292</w:t>
            </w:r>
          </w:p>
        </w:tc>
        <w:tc>
          <w:tcPr>
            <w:tcW w:w="1424" w:type="dxa"/>
            <w:tcBorders>
              <w:top w:val="nil"/>
              <w:left w:val="nil"/>
              <w:bottom w:val="nil"/>
              <w:right w:val="nil"/>
            </w:tcBorders>
            <w:shd w:val="clear" w:color="auto" w:fill="auto"/>
            <w:noWrap/>
            <w:vAlign w:val="bottom"/>
            <w:hideMark/>
          </w:tcPr>
          <w:p w14:paraId="5A09631F" w14:textId="5428D940"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0.087837</w:t>
            </w:r>
          </w:p>
        </w:tc>
        <w:tc>
          <w:tcPr>
            <w:tcW w:w="1424" w:type="dxa"/>
            <w:tcBorders>
              <w:top w:val="nil"/>
              <w:left w:val="nil"/>
              <w:bottom w:val="nil"/>
              <w:right w:val="nil"/>
            </w:tcBorders>
            <w:shd w:val="clear" w:color="auto" w:fill="auto"/>
            <w:noWrap/>
            <w:vAlign w:val="bottom"/>
            <w:hideMark/>
          </w:tcPr>
          <w:p w14:paraId="352C7341" w14:textId="57EB5822"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0.657066</w:t>
            </w:r>
          </w:p>
        </w:tc>
        <w:tc>
          <w:tcPr>
            <w:tcW w:w="1424" w:type="dxa"/>
            <w:tcBorders>
              <w:top w:val="nil"/>
              <w:left w:val="nil"/>
              <w:bottom w:val="nil"/>
              <w:right w:val="nil"/>
            </w:tcBorders>
            <w:shd w:val="clear" w:color="auto" w:fill="auto"/>
            <w:noWrap/>
            <w:vAlign w:val="bottom"/>
            <w:hideMark/>
          </w:tcPr>
          <w:p w14:paraId="054E5A09" w14:textId="2925B9A7"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0.000000</w:t>
            </w:r>
          </w:p>
        </w:tc>
        <w:tc>
          <w:tcPr>
            <w:tcW w:w="1424" w:type="dxa"/>
            <w:tcBorders>
              <w:top w:val="nil"/>
              <w:left w:val="nil"/>
              <w:bottom w:val="nil"/>
              <w:right w:val="nil"/>
            </w:tcBorders>
            <w:shd w:val="clear" w:color="auto" w:fill="auto"/>
            <w:noWrap/>
            <w:vAlign w:val="bottom"/>
            <w:hideMark/>
          </w:tcPr>
          <w:p w14:paraId="29E0C172" w14:textId="05FE8CA6" w:rsidR="003A3B64" w:rsidRPr="001B1F5F" w:rsidRDefault="003A3B64" w:rsidP="00605EDC">
            <w:pPr>
              <w:pStyle w:val="NoSpacing"/>
              <w:rPr>
                <w:rFonts w:asciiTheme="minorHAnsi" w:hAnsiTheme="minorHAnsi" w:cstheme="minorHAnsi"/>
                <w:sz w:val="24"/>
                <w:szCs w:val="24"/>
                <w:lang w:val="id-ID"/>
              </w:rPr>
            </w:pPr>
            <w:r w:rsidRPr="001B1F5F">
              <w:rPr>
                <w:rFonts w:asciiTheme="minorHAnsi" w:hAnsiTheme="minorHAnsi" w:cstheme="minorHAnsi"/>
                <w:sz w:val="24"/>
                <w:szCs w:val="24"/>
                <w:lang w:val="id-ID"/>
              </w:rPr>
              <w:t>0.098756</w:t>
            </w:r>
          </w:p>
        </w:tc>
      </w:tr>
      <w:tr w:rsidR="00C07CE6" w:rsidRPr="001B1F5F" w14:paraId="68EA397A" w14:textId="77777777" w:rsidTr="00605EDC">
        <w:trPr>
          <w:trHeight w:val="280"/>
        </w:trPr>
        <w:tc>
          <w:tcPr>
            <w:tcW w:w="1278" w:type="dxa"/>
            <w:tcBorders>
              <w:top w:val="nil"/>
              <w:left w:val="nil"/>
              <w:bottom w:val="double" w:sz="6" w:space="0" w:color="auto"/>
              <w:right w:val="nil"/>
            </w:tcBorders>
            <w:shd w:val="clear" w:color="auto" w:fill="auto"/>
            <w:noWrap/>
            <w:vAlign w:val="bottom"/>
            <w:hideMark/>
          </w:tcPr>
          <w:p w14:paraId="318537E7" w14:textId="77777777"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CAPINT</w:t>
            </w:r>
          </w:p>
        </w:tc>
        <w:tc>
          <w:tcPr>
            <w:tcW w:w="1034" w:type="dxa"/>
            <w:tcBorders>
              <w:top w:val="nil"/>
              <w:left w:val="nil"/>
              <w:bottom w:val="double" w:sz="6" w:space="0" w:color="auto"/>
              <w:right w:val="nil"/>
            </w:tcBorders>
            <w:shd w:val="clear" w:color="auto" w:fill="auto"/>
            <w:noWrap/>
            <w:vAlign w:val="bottom"/>
            <w:hideMark/>
          </w:tcPr>
          <w:p w14:paraId="5EBE74A1" w14:textId="0338F870"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330</w:t>
            </w:r>
          </w:p>
        </w:tc>
        <w:tc>
          <w:tcPr>
            <w:tcW w:w="1424" w:type="dxa"/>
            <w:tcBorders>
              <w:top w:val="nil"/>
              <w:left w:val="nil"/>
              <w:bottom w:val="double" w:sz="6" w:space="0" w:color="auto"/>
              <w:right w:val="nil"/>
            </w:tcBorders>
            <w:shd w:val="clear" w:color="auto" w:fill="auto"/>
            <w:noWrap/>
            <w:vAlign w:val="bottom"/>
            <w:hideMark/>
          </w:tcPr>
          <w:p w14:paraId="4B8D2AEA" w14:textId="60D3D57E"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0.396522</w:t>
            </w:r>
          </w:p>
        </w:tc>
        <w:tc>
          <w:tcPr>
            <w:tcW w:w="1424" w:type="dxa"/>
            <w:tcBorders>
              <w:top w:val="nil"/>
              <w:left w:val="nil"/>
              <w:bottom w:val="double" w:sz="6" w:space="0" w:color="auto"/>
              <w:right w:val="nil"/>
            </w:tcBorders>
            <w:shd w:val="clear" w:color="auto" w:fill="auto"/>
            <w:noWrap/>
            <w:vAlign w:val="bottom"/>
            <w:hideMark/>
          </w:tcPr>
          <w:p w14:paraId="01B43877" w14:textId="3E233D79"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0.371384</w:t>
            </w:r>
          </w:p>
        </w:tc>
        <w:tc>
          <w:tcPr>
            <w:tcW w:w="1424" w:type="dxa"/>
            <w:tcBorders>
              <w:top w:val="nil"/>
              <w:left w:val="nil"/>
              <w:bottom w:val="double" w:sz="6" w:space="0" w:color="auto"/>
              <w:right w:val="nil"/>
            </w:tcBorders>
            <w:shd w:val="clear" w:color="auto" w:fill="auto"/>
            <w:noWrap/>
            <w:vAlign w:val="bottom"/>
            <w:hideMark/>
          </w:tcPr>
          <w:p w14:paraId="79E6DE75" w14:textId="7AA10623"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0.846431</w:t>
            </w:r>
          </w:p>
        </w:tc>
        <w:tc>
          <w:tcPr>
            <w:tcW w:w="1424" w:type="dxa"/>
            <w:tcBorders>
              <w:top w:val="nil"/>
              <w:left w:val="nil"/>
              <w:bottom w:val="double" w:sz="6" w:space="0" w:color="auto"/>
              <w:right w:val="nil"/>
            </w:tcBorders>
            <w:shd w:val="clear" w:color="auto" w:fill="auto"/>
            <w:noWrap/>
            <w:vAlign w:val="bottom"/>
            <w:hideMark/>
          </w:tcPr>
          <w:p w14:paraId="28F1154F" w14:textId="274FF7FD" w:rsidR="003A3B64" w:rsidRPr="001B1F5F" w:rsidRDefault="003A3B64"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0.000000</w:t>
            </w:r>
          </w:p>
        </w:tc>
        <w:tc>
          <w:tcPr>
            <w:tcW w:w="1424" w:type="dxa"/>
            <w:tcBorders>
              <w:top w:val="nil"/>
              <w:left w:val="nil"/>
              <w:bottom w:val="double" w:sz="6" w:space="0" w:color="auto"/>
              <w:right w:val="nil"/>
            </w:tcBorders>
            <w:shd w:val="clear" w:color="auto" w:fill="auto"/>
            <w:noWrap/>
            <w:vAlign w:val="bottom"/>
            <w:hideMark/>
          </w:tcPr>
          <w:p w14:paraId="43CB4A32" w14:textId="11666AFD" w:rsidR="003A3B64" w:rsidRPr="001B1F5F" w:rsidRDefault="003A3B64" w:rsidP="00605EDC">
            <w:pPr>
              <w:pStyle w:val="NoSpacing"/>
              <w:rPr>
                <w:rFonts w:asciiTheme="minorHAnsi" w:hAnsiTheme="minorHAnsi" w:cstheme="minorHAnsi"/>
                <w:sz w:val="24"/>
                <w:szCs w:val="24"/>
                <w:lang w:val="id-ID"/>
              </w:rPr>
            </w:pPr>
            <w:r w:rsidRPr="001B1F5F">
              <w:rPr>
                <w:rFonts w:asciiTheme="minorHAnsi" w:hAnsiTheme="minorHAnsi" w:cstheme="minorHAnsi"/>
                <w:sz w:val="24"/>
                <w:szCs w:val="24"/>
                <w:lang w:val="id-ID"/>
              </w:rPr>
              <w:t>0.185379</w:t>
            </w:r>
          </w:p>
        </w:tc>
      </w:tr>
    </w:tbl>
    <w:p w14:paraId="5A75D7DF" w14:textId="77777777" w:rsidR="003A3B64" w:rsidRPr="001B1F5F" w:rsidRDefault="003A3B64" w:rsidP="000F5FDE">
      <w:pPr>
        <w:pStyle w:val="NoSpacing"/>
        <w:ind w:firstLine="720"/>
        <w:jc w:val="both"/>
        <w:rPr>
          <w:rFonts w:asciiTheme="minorHAnsi" w:hAnsiTheme="minorHAnsi" w:cstheme="minorHAnsi"/>
          <w:sz w:val="24"/>
          <w:szCs w:val="24"/>
        </w:rPr>
      </w:pPr>
    </w:p>
    <w:p w14:paraId="31357106" w14:textId="6DB91A34" w:rsidR="00C07CE6" w:rsidRPr="001B1F5F" w:rsidRDefault="00C07CE6" w:rsidP="00C07CE6">
      <w:pPr>
        <w:pStyle w:val="NoSpacing"/>
        <w:jc w:val="both"/>
        <w:rPr>
          <w:rFonts w:asciiTheme="minorHAnsi" w:hAnsiTheme="minorHAnsi" w:cstheme="minorHAnsi"/>
          <w:sz w:val="24"/>
          <w:szCs w:val="24"/>
        </w:rPr>
      </w:pPr>
      <w:r w:rsidRPr="001B1F5F">
        <w:rPr>
          <w:rFonts w:asciiTheme="minorHAnsi" w:hAnsiTheme="minorHAnsi" w:cstheme="minorHAnsi"/>
          <w:sz w:val="24"/>
          <w:szCs w:val="24"/>
        </w:rPr>
        <w:t>Source: Author’s calculation</w:t>
      </w:r>
    </w:p>
    <w:p w14:paraId="46B166A0" w14:textId="77777777" w:rsidR="00C07CE6" w:rsidRPr="001B1F5F" w:rsidRDefault="00C07CE6" w:rsidP="00C07CE6">
      <w:pPr>
        <w:pStyle w:val="NoSpacing"/>
        <w:jc w:val="both"/>
        <w:rPr>
          <w:rFonts w:asciiTheme="minorHAnsi" w:hAnsiTheme="minorHAnsi" w:cstheme="minorHAnsi"/>
          <w:sz w:val="24"/>
          <w:szCs w:val="24"/>
        </w:rPr>
      </w:pPr>
    </w:p>
    <w:p w14:paraId="003CAC46" w14:textId="740448BD" w:rsidR="00C07CE6" w:rsidRPr="001B1F5F" w:rsidRDefault="00C07CE6" w:rsidP="00C07CE6">
      <w:pPr>
        <w:pStyle w:val="NoSpacing"/>
        <w:jc w:val="both"/>
        <w:rPr>
          <w:rFonts w:asciiTheme="minorHAnsi" w:hAnsiTheme="minorHAnsi" w:cstheme="minorHAnsi"/>
          <w:sz w:val="24"/>
          <w:szCs w:val="24"/>
        </w:rPr>
      </w:pPr>
      <w:r w:rsidRPr="001B1F5F">
        <w:rPr>
          <w:rFonts w:asciiTheme="minorHAnsi" w:hAnsiTheme="minorHAnsi" w:cstheme="minorHAnsi"/>
          <w:sz w:val="24"/>
          <w:szCs w:val="24"/>
        </w:rPr>
        <w:t>Model Testing</w:t>
      </w:r>
    </w:p>
    <w:p w14:paraId="0F433956" w14:textId="77777777" w:rsidR="00C07CE6" w:rsidRPr="001B1F5F" w:rsidRDefault="00C07CE6" w:rsidP="00951652">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The F-Statistic Test (Chow Test) is used to choose between the Pooled Least Square-OLS model or Fixed Effect Model (FEM) in handling panel data. The Chow test for this model has a probability value of F smaller than α (0.05), specifically the F probability value of 0.0000. Therefore, the appropriate model from these results is the FEM.</w:t>
      </w:r>
    </w:p>
    <w:p w14:paraId="20FB5888" w14:textId="77777777" w:rsidR="00C07CE6" w:rsidRPr="001B1F5F" w:rsidRDefault="00C07CE6" w:rsidP="0039514E">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Subsequently, a Hausmann test is conducted, showing a probability lower than the value of α (0.05), specifically at 0.0106. Therefore, the FEM method is preferred over the Random Effect Model (REM).</w:t>
      </w:r>
    </w:p>
    <w:p w14:paraId="38A5AED1" w14:textId="77777777" w:rsidR="00C07CE6" w:rsidRPr="001B1F5F" w:rsidRDefault="00C07CE6" w:rsidP="000F5FDE">
      <w:pPr>
        <w:pStyle w:val="NoSpacing"/>
        <w:ind w:firstLine="720"/>
        <w:jc w:val="both"/>
        <w:rPr>
          <w:rFonts w:asciiTheme="minorHAnsi" w:hAnsiTheme="minorHAnsi" w:cstheme="minorHAnsi"/>
          <w:sz w:val="24"/>
          <w:szCs w:val="24"/>
        </w:rPr>
      </w:pPr>
    </w:p>
    <w:p w14:paraId="73927223" w14:textId="77777777" w:rsidR="00C07CE6" w:rsidRPr="001B1F5F" w:rsidRDefault="00C07CE6" w:rsidP="00C07CE6">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Classical Assumptions Test </w:t>
      </w:r>
    </w:p>
    <w:p w14:paraId="5431924A" w14:textId="77777777" w:rsidR="00C07CE6" w:rsidRPr="001B1F5F" w:rsidRDefault="00C07CE6" w:rsidP="00C07CE6">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Multicollinearity Test </w:t>
      </w:r>
    </w:p>
    <w:p w14:paraId="0CC5F82D" w14:textId="77777777" w:rsidR="00C07CE6" w:rsidRPr="001B1F5F" w:rsidRDefault="00C07CE6" w:rsidP="00951652">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This test is performed to ascertain if there is a strong correlation among independent variables (</w:t>
      </w:r>
      <w:proofErr w:type="spellStart"/>
      <w:r w:rsidRPr="001B1F5F">
        <w:rPr>
          <w:rFonts w:asciiTheme="minorHAnsi" w:hAnsiTheme="minorHAnsi" w:cstheme="minorHAnsi"/>
          <w:sz w:val="24"/>
          <w:szCs w:val="24"/>
          <w:lang w:val="en-ID"/>
        </w:rPr>
        <w:t>Ghozali</w:t>
      </w:r>
      <w:proofErr w:type="spellEnd"/>
      <w:r w:rsidRPr="001B1F5F">
        <w:rPr>
          <w:rFonts w:asciiTheme="minorHAnsi" w:hAnsiTheme="minorHAnsi" w:cstheme="minorHAnsi"/>
          <w:sz w:val="24"/>
          <w:szCs w:val="24"/>
          <w:lang w:val="en-ID"/>
        </w:rPr>
        <w:t>, 2011). To identify multicollinearity, attention is paid to the relationship between independent variables. If the correlation coefficient between independent variables exceeds 0.8, it indicates the possibility of multicollinearity. The correlation table's results between each independent variable show that the correlation coefficients are less than 0.70, hence it can be concluded that the model does not suffer from multicollinearity issues according to classical assumptions.</w:t>
      </w:r>
    </w:p>
    <w:p w14:paraId="6218BB82" w14:textId="77777777" w:rsidR="00C07CE6" w:rsidRPr="001B1F5F" w:rsidRDefault="00C07CE6" w:rsidP="00C07CE6">
      <w:pPr>
        <w:pStyle w:val="NoSpacing"/>
        <w:rPr>
          <w:rFonts w:asciiTheme="minorHAnsi" w:hAnsiTheme="minorHAnsi" w:cstheme="minorHAnsi"/>
          <w:sz w:val="24"/>
          <w:szCs w:val="24"/>
          <w:lang w:val="en-ID"/>
        </w:rPr>
      </w:pPr>
    </w:p>
    <w:p w14:paraId="132A60B5" w14:textId="77777777" w:rsidR="00C07CE6" w:rsidRPr="001B1F5F" w:rsidRDefault="00C07CE6" w:rsidP="00C07CE6">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Heteroskedasticity Test </w:t>
      </w:r>
    </w:p>
    <w:p w14:paraId="21CEA147" w14:textId="69DE6089" w:rsidR="00C07CE6" w:rsidRPr="001B1F5F" w:rsidRDefault="00C07CE6" w:rsidP="00951652">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The heteroskedasticity test is conducted by re-estimating the regression model using "White Heteroscedasticity Cross-Section Standard Error and Covariance" and comparing the results (output) of this regression with the initial regression. If the results of this regression when compared to the initial estimates have higher R-squared and Adjusted R-squared coefficients, it can be concluded that the initial estimation is free from heteroskedasticity problems.</w:t>
      </w:r>
    </w:p>
    <w:p w14:paraId="57FBE4FB" w14:textId="77777777" w:rsidR="00C07CE6" w:rsidRPr="001B1F5F" w:rsidRDefault="00C07CE6" w:rsidP="00C07CE6">
      <w:pPr>
        <w:pStyle w:val="NoSpacing"/>
        <w:rPr>
          <w:rFonts w:asciiTheme="minorHAnsi" w:hAnsiTheme="minorHAnsi" w:cstheme="minorHAnsi"/>
          <w:sz w:val="24"/>
          <w:szCs w:val="24"/>
          <w:lang w:val="en-ID"/>
        </w:rPr>
      </w:pPr>
    </w:p>
    <w:p w14:paraId="2676C531" w14:textId="77777777" w:rsidR="00C07CE6" w:rsidRPr="001B1F5F" w:rsidRDefault="00C07CE6" w:rsidP="00C07CE6">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Normality and Autocorrelation Test </w:t>
      </w:r>
    </w:p>
    <w:p w14:paraId="0F0DECD9" w14:textId="28617731" w:rsidR="00C07CE6" w:rsidRPr="001B1F5F" w:rsidRDefault="00C07CE6" w:rsidP="00951652">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According to Gujarati</w:t>
      </w:r>
      <w:r w:rsidR="00951652">
        <w:rPr>
          <w:rFonts w:asciiTheme="minorHAnsi" w:hAnsiTheme="minorHAnsi" w:cstheme="minorHAnsi"/>
          <w:sz w:val="24"/>
          <w:szCs w:val="24"/>
          <w:lang w:val="en-ID"/>
        </w:rPr>
        <w:t xml:space="preserve"> &amp;</w:t>
      </w:r>
      <w:r w:rsidRPr="001B1F5F">
        <w:rPr>
          <w:rFonts w:asciiTheme="minorHAnsi" w:hAnsiTheme="minorHAnsi" w:cstheme="minorHAnsi"/>
          <w:sz w:val="24"/>
          <w:szCs w:val="24"/>
          <w:lang w:val="en-ID"/>
        </w:rPr>
        <w:t xml:space="preserve"> Porter (2009), the normality test is not necessary for research with observations exceeding 100 because the error term distribution is already close to normal. Meanwhile, the autocorrelation test is not relevant for panel data because the test's characteristic is observing the correlation between variables in time series data (</w:t>
      </w:r>
      <w:proofErr w:type="spellStart"/>
      <w:r w:rsidRPr="001B1F5F">
        <w:rPr>
          <w:rFonts w:asciiTheme="minorHAnsi" w:hAnsiTheme="minorHAnsi" w:cstheme="minorHAnsi"/>
          <w:sz w:val="24"/>
          <w:szCs w:val="24"/>
          <w:lang w:val="en-ID"/>
        </w:rPr>
        <w:t>Ajija</w:t>
      </w:r>
      <w:proofErr w:type="spellEnd"/>
      <w:r w:rsidRPr="001B1F5F">
        <w:rPr>
          <w:rFonts w:asciiTheme="minorHAnsi" w:hAnsiTheme="minorHAnsi" w:cstheme="minorHAnsi"/>
          <w:sz w:val="24"/>
          <w:szCs w:val="24"/>
          <w:lang w:val="en-ID"/>
        </w:rPr>
        <w:t xml:space="preserve">, Sari, </w:t>
      </w:r>
      <w:proofErr w:type="spellStart"/>
      <w:r w:rsidRPr="001B1F5F">
        <w:rPr>
          <w:rFonts w:asciiTheme="minorHAnsi" w:hAnsiTheme="minorHAnsi" w:cstheme="minorHAnsi"/>
          <w:sz w:val="24"/>
          <w:szCs w:val="24"/>
          <w:lang w:val="en-ID"/>
        </w:rPr>
        <w:t>Setianto</w:t>
      </w:r>
      <w:proofErr w:type="spellEnd"/>
      <w:r w:rsidRPr="001B1F5F">
        <w:rPr>
          <w:rFonts w:asciiTheme="minorHAnsi" w:hAnsiTheme="minorHAnsi" w:cstheme="minorHAnsi"/>
          <w:sz w:val="24"/>
          <w:szCs w:val="24"/>
          <w:lang w:val="en-ID"/>
        </w:rPr>
        <w:t xml:space="preserve"> &amp; </w:t>
      </w:r>
      <w:proofErr w:type="spellStart"/>
      <w:r w:rsidRPr="001B1F5F">
        <w:rPr>
          <w:rFonts w:asciiTheme="minorHAnsi" w:hAnsiTheme="minorHAnsi" w:cstheme="minorHAnsi"/>
          <w:sz w:val="24"/>
          <w:szCs w:val="24"/>
          <w:lang w:val="en-ID"/>
        </w:rPr>
        <w:t>Primati</w:t>
      </w:r>
      <w:proofErr w:type="spellEnd"/>
      <w:r w:rsidRPr="001B1F5F">
        <w:rPr>
          <w:rFonts w:asciiTheme="minorHAnsi" w:hAnsiTheme="minorHAnsi" w:cstheme="minorHAnsi"/>
          <w:sz w:val="24"/>
          <w:szCs w:val="24"/>
          <w:lang w:val="en-ID"/>
        </w:rPr>
        <w:t>, 2011).</w:t>
      </w:r>
    </w:p>
    <w:p w14:paraId="54D120E5" w14:textId="77777777" w:rsidR="00C07CE6" w:rsidRPr="001B1F5F" w:rsidRDefault="00C07CE6" w:rsidP="00C07CE6">
      <w:pPr>
        <w:pStyle w:val="NoSpacing"/>
        <w:jc w:val="both"/>
        <w:rPr>
          <w:rFonts w:asciiTheme="minorHAnsi" w:hAnsiTheme="minorHAnsi" w:cstheme="minorHAnsi"/>
          <w:sz w:val="24"/>
          <w:szCs w:val="24"/>
        </w:rPr>
      </w:pPr>
    </w:p>
    <w:p w14:paraId="4CF1B094" w14:textId="17E74D94" w:rsidR="00C07CE6" w:rsidRPr="001B1F5F" w:rsidRDefault="00C07CE6" w:rsidP="00C07CE6">
      <w:pPr>
        <w:pStyle w:val="NoSpacing"/>
        <w:jc w:val="both"/>
        <w:rPr>
          <w:rFonts w:asciiTheme="minorHAnsi" w:hAnsiTheme="minorHAnsi" w:cstheme="minorHAnsi"/>
          <w:sz w:val="24"/>
          <w:szCs w:val="24"/>
        </w:rPr>
      </w:pPr>
      <w:r w:rsidRPr="001B1F5F">
        <w:rPr>
          <w:rFonts w:asciiTheme="minorHAnsi" w:hAnsiTheme="minorHAnsi" w:cstheme="minorHAnsi"/>
          <w:sz w:val="24"/>
          <w:szCs w:val="24"/>
        </w:rPr>
        <w:t>Hypothesis Testing</w:t>
      </w:r>
    </w:p>
    <w:p w14:paraId="4CD104C8" w14:textId="77777777" w:rsidR="00C07CE6" w:rsidRPr="001B1F5F" w:rsidRDefault="00C07CE6" w:rsidP="00951652">
      <w:pPr>
        <w:pStyle w:val="NoSpacing"/>
        <w:spacing w:after="240"/>
        <w:ind w:firstLine="720"/>
        <w:rPr>
          <w:rFonts w:asciiTheme="minorHAnsi" w:hAnsiTheme="minorHAnsi" w:cstheme="minorHAnsi"/>
          <w:sz w:val="24"/>
          <w:szCs w:val="24"/>
          <w:lang w:val="en-ID"/>
        </w:rPr>
      </w:pPr>
      <w:r w:rsidRPr="001B1F5F">
        <w:rPr>
          <w:rFonts w:asciiTheme="minorHAnsi" w:hAnsiTheme="minorHAnsi" w:cstheme="minorHAnsi"/>
          <w:sz w:val="24"/>
          <w:szCs w:val="24"/>
          <w:lang w:val="en-ID"/>
        </w:rPr>
        <w:t>The regression results using the FEM method are displayed in the table below.</w:t>
      </w:r>
    </w:p>
    <w:p w14:paraId="1F09B4CB" w14:textId="104AEC95" w:rsidR="00C07CE6" w:rsidRPr="001B1F5F" w:rsidRDefault="00C07CE6" w:rsidP="00C07CE6">
      <w:pPr>
        <w:pStyle w:val="NoSpacing"/>
        <w:jc w:val="both"/>
        <w:rPr>
          <w:rFonts w:asciiTheme="minorHAnsi" w:hAnsiTheme="minorHAnsi" w:cstheme="minorHAnsi"/>
          <w:sz w:val="24"/>
          <w:szCs w:val="24"/>
        </w:rPr>
      </w:pPr>
      <w:r w:rsidRPr="001B1F5F">
        <w:rPr>
          <w:rFonts w:asciiTheme="minorHAnsi" w:hAnsiTheme="minorHAnsi" w:cstheme="minorHAnsi"/>
          <w:sz w:val="24"/>
          <w:szCs w:val="24"/>
        </w:rPr>
        <w:t>Table 3. Fixed Effect Model Regression Result</w:t>
      </w:r>
    </w:p>
    <w:tbl>
      <w:tblPr>
        <w:tblW w:w="0" w:type="auto"/>
        <w:jc w:val="center"/>
        <w:tblLayout w:type="fixed"/>
        <w:tblCellMar>
          <w:left w:w="0" w:type="dxa"/>
          <w:right w:w="0" w:type="dxa"/>
        </w:tblCellMar>
        <w:tblLook w:val="0000" w:firstRow="0" w:lastRow="0" w:firstColumn="0" w:lastColumn="0" w:noHBand="0" w:noVBand="0"/>
      </w:tblPr>
      <w:tblGrid>
        <w:gridCol w:w="2674"/>
        <w:gridCol w:w="1461"/>
        <w:gridCol w:w="1603"/>
        <w:gridCol w:w="1612"/>
        <w:gridCol w:w="1321"/>
      </w:tblGrid>
      <w:tr w:rsidR="00C07CE6" w:rsidRPr="001B1F5F" w14:paraId="44F6438E" w14:textId="77777777" w:rsidTr="0039514E">
        <w:trPr>
          <w:trHeight w:val="21"/>
          <w:jc w:val="center"/>
        </w:trPr>
        <w:tc>
          <w:tcPr>
            <w:tcW w:w="2674" w:type="dxa"/>
            <w:tcBorders>
              <w:top w:val="nil"/>
              <w:left w:val="nil"/>
              <w:bottom w:val="double" w:sz="6" w:space="2" w:color="auto"/>
              <w:right w:val="nil"/>
            </w:tcBorders>
            <w:vAlign w:val="bottom"/>
          </w:tcPr>
          <w:p w14:paraId="47EB233E" w14:textId="77777777" w:rsidR="00C07CE6" w:rsidRPr="001B1F5F" w:rsidRDefault="00C07CE6" w:rsidP="00C07CE6">
            <w:pPr>
              <w:pStyle w:val="NoSpacing"/>
              <w:jc w:val="both"/>
              <w:rPr>
                <w:rFonts w:asciiTheme="minorHAnsi" w:hAnsiTheme="minorHAnsi" w:cstheme="minorHAnsi"/>
                <w:sz w:val="24"/>
                <w:szCs w:val="24"/>
                <w:lang w:val="id-ID"/>
              </w:rPr>
            </w:pPr>
          </w:p>
        </w:tc>
        <w:tc>
          <w:tcPr>
            <w:tcW w:w="1461" w:type="dxa"/>
            <w:tcBorders>
              <w:top w:val="nil"/>
              <w:left w:val="nil"/>
              <w:bottom w:val="double" w:sz="6" w:space="2" w:color="auto"/>
              <w:right w:val="nil"/>
            </w:tcBorders>
            <w:vAlign w:val="bottom"/>
          </w:tcPr>
          <w:p w14:paraId="22B3EA33" w14:textId="77777777" w:rsidR="00C07CE6" w:rsidRPr="001B1F5F" w:rsidRDefault="00C07CE6" w:rsidP="00C07CE6">
            <w:pPr>
              <w:pStyle w:val="NoSpacing"/>
              <w:jc w:val="both"/>
              <w:rPr>
                <w:rFonts w:asciiTheme="minorHAnsi" w:hAnsiTheme="minorHAnsi" w:cstheme="minorHAnsi"/>
                <w:sz w:val="24"/>
                <w:szCs w:val="24"/>
                <w:lang w:val="id-ID"/>
              </w:rPr>
            </w:pPr>
          </w:p>
        </w:tc>
        <w:tc>
          <w:tcPr>
            <w:tcW w:w="1603" w:type="dxa"/>
            <w:tcBorders>
              <w:top w:val="nil"/>
              <w:left w:val="nil"/>
              <w:bottom w:val="double" w:sz="6" w:space="2" w:color="auto"/>
              <w:right w:val="nil"/>
            </w:tcBorders>
            <w:vAlign w:val="bottom"/>
          </w:tcPr>
          <w:p w14:paraId="6B2C76D9" w14:textId="77777777" w:rsidR="00C07CE6" w:rsidRPr="001B1F5F" w:rsidRDefault="00C07CE6" w:rsidP="00C07CE6">
            <w:pPr>
              <w:pStyle w:val="NoSpacing"/>
              <w:jc w:val="both"/>
              <w:rPr>
                <w:rFonts w:asciiTheme="minorHAnsi" w:hAnsiTheme="minorHAnsi" w:cstheme="minorHAnsi"/>
                <w:sz w:val="24"/>
                <w:szCs w:val="24"/>
                <w:lang w:val="id-ID"/>
              </w:rPr>
            </w:pPr>
          </w:p>
        </w:tc>
        <w:tc>
          <w:tcPr>
            <w:tcW w:w="1612" w:type="dxa"/>
            <w:tcBorders>
              <w:top w:val="nil"/>
              <w:left w:val="nil"/>
              <w:bottom w:val="double" w:sz="6" w:space="2" w:color="auto"/>
              <w:right w:val="nil"/>
            </w:tcBorders>
            <w:vAlign w:val="bottom"/>
          </w:tcPr>
          <w:p w14:paraId="23D8583F" w14:textId="77777777" w:rsidR="00C07CE6" w:rsidRPr="001B1F5F" w:rsidRDefault="00C07CE6" w:rsidP="00C07CE6">
            <w:pPr>
              <w:pStyle w:val="NoSpacing"/>
              <w:jc w:val="both"/>
              <w:rPr>
                <w:rFonts w:asciiTheme="minorHAnsi" w:hAnsiTheme="minorHAnsi" w:cstheme="minorHAnsi"/>
                <w:sz w:val="24"/>
                <w:szCs w:val="24"/>
                <w:lang w:val="id-ID"/>
              </w:rPr>
            </w:pPr>
          </w:p>
        </w:tc>
        <w:tc>
          <w:tcPr>
            <w:tcW w:w="1321" w:type="dxa"/>
            <w:tcBorders>
              <w:top w:val="nil"/>
              <w:left w:val="nil"/>
              <w:bottom w:val="double" w:sz="6" w:space="2" w:color="auto"/>
              <w:right w:val="nil"/>
            </w:tcBorders>
            <w:vAlign w:val="bottom"/>
          </w:tcPr>
          <w:p w14:paraId="3DBE34A4" w14:textId="77777777" w:rsidR="00C07CE6" w:rsidRPr="001B1F5F" w:rsidRDefault="00C07CE6" w:rsidP="00C07CE6">
            <w:pPr>
              <w:pStyle w:val="NoSpacing"/>
              <w:jc w:val="both"/>
              <w:rPr>
                <w:rFonts w:asciiTheme="minorHAnsi" w:hAnsiTheme="minorHAnsi" w:cstheme="minorHAnsi"/>
                <w:sz w:val="24"/>
                <w:szCs w:val="24"/>
                <w:lang w:val="id-ID"/>
              </w:rPr>
            </w:pPr>
          </w:p>
        </w:tc>
      </w:tr>
      <w:tr w:rsidR="00C07CE6" w:rsidRPr="001B1F5F" w14:paraId="16E67904" w14:textId="77777777" w:rsidTr="0039514E">
        <w:trPr>
          <w:trHeight w:val="39"/>
          <w:jc w:val="center"/>
        </w:trPr>
        <w:tc>
          <w:tcPr>
            <w:tcW w:w="2674" w:type="dxa"/>
            <w:tcBorders>
              <w:top w:val="nil"/>
              <w:left w:val="nil"/>
              <w:bottom w:val="nil"/>
              <w:right w:val="nil"/>
            </w:tcBorders>
            <w:vAlign w:val="bottom"/>
          </w:tcPr>
          <w:p w14:paraId="368A7F78" w14:textId="77777777" w:rsidR="00C07CE6" w:rsidRPr="001B1F5F" w:rsidRDefault="00C07CE6" w:rsidP="00C07CE6">
            <w:pPr>
              <w:pStyle w:val="NoSpacing"/>
              <w:jc w:val="both"/>
              <w:rPr>
                <w:rFonts w:asciiTheme="minorHAnsi" w:hAnsiTheme="minorHAnsi" w:cstheme="minorHAnsi"/>
                <w:sz w:val="24"/>
                <w:szCs w:val="24"/>
                <w:lang w:val="id-ID"/>
              </w:rPr>
            </w:pPr>
          </w:p>
        </w:tc>
        <w:tc>
          <w:tcPr>
            <w:tcW w:w="1461" w:type="dxa"/>
            <w:tcBorders>
              <w:top w:val="nil"/>
              <w:left w:val="nil"/>
              <w:bottom w:val="nil"/>
              <w:right w:val="nil"/>
            </w:tcBorders>
            <w:vAlign w:val="bottom"/>
          </w:tcPr>
          <w:p w14:paraId="7A48F31C" w14:textId="77777777" w:rsidR="00C07CE6" w:rsidRPr="001B1F5F" w:rsidRDefault="00C07CE6" w:rsidP="00C07CE6">
            <w:pPr>
              <w:pStyle w:val="NoSpacing"/>
              <w:jc w:val="both"/>
              <w:rPr>
                <w:rFonts w:asciiTheme="minorHAnsi" w:hAnsiTheme="minorHAnsi" w:cstheme="minorHAnsi"/>
                <w:sz w:val="24"/>
                <w:szCs w:val="24"/>
                <w:lang w:val="id-ID"/>
              </w:rPr>
            </w:pPr>
          </w:p>
        </w:tc>
        <w:tc>
          <w:tcPr>
            <w:tcW w:w="1603" w:type="dxa"/>
            <w:tcBorders>
              <w:top w:val="nil"/>
              <w:left w:val="nil"/>
              <w:bottom w:val="nil"/>
              <w:right w:val="nil"/>
            </w:tcBorders>
            <w:vAlign w:val="bottom"/>
          </w:tcPr>
          <w:p w14:paraId="5BA3752D" w14:textId="77777777" w:rsidR="00C07CE6" w:rsidRPr="001B1F5F" w:rsidRDefault="00C07CE6" w:rsidP="00C07CE6">
            <w:pPr>
              <w:pStyle w:val="NoSpacing"/>
              <w:jc w:val="both"/>
              <w:rPr>
                <w:rFonts w:asciiTheme="minorHAnsi" w:hAnsiTheme="minorHAnsi" w:cstheme="minorHAnsi"/>
                <w:sz w:val="24"/>
                <w:szCs w:val="24"/>
                <w:lang w:val="id-ID"/>
              </w:rPr>
            </w:pPr>
          </w:p>
        </w:tc>
        <w:tc>
          <w:tcPr>
            <w:tcW w:w="1612" w:type="dxa"/>
            <w:tcBorders>
              <w:top w:val="nil"/>
              <w:left w:val="nil"/>
              <w:bottom w:val="nil"/>
              <w:right w:val="nil"/>
            </w:tcBorders>
            <w:vAlign w:val="bottom"/>
          </w:tcPr>
          <w:p w14:paraId="28D330DE" w14:textId="77777777" w:rsidR="00C07CE6" w:rsidRPr="001B1F5F" w:rsidRDefault="00C07CE6" w:rsidP="00C07CE6">
            <w:pPr>
              <w:pStyle w:val="NoSpacing"/>
              <w:jc w:val="both"/>
              <w:rPr>
                <w:rFonts w:asciiTheme="minorHAnsi" w:hAnsiTheme="minorHAnsi" w:cstheme="minorHAnsi"/>
                <w:sz w:val="24"/>
                <w:szCs w:val="24"/>
                <w:lang w:val="id-ID"/>
              </w:rPr>
            </w:pPr>
          </w:p>
        </w:tc>
        <w:tc>
          <w:tcPr>
            <w:tcW w:w="1321" w:type="dxa"/>
            <w:tcBorders>
              <w:top w:val="nil"/>
              <w:left w:val="nil"/>
              <w:bottom w:val="nil"/>
              <w:right w:val="nil"/>
            </w:tcBorders>
            <w:vAlign w:val="bottom"/>
          </w:tcPr>
          <w:p w14:paraId="49066F3E" w14:textId="77777777" w:rsidR="00C07CE6" w:rsidRPr="001B1F5F" w:rsidRDefault="00C07CE6" w:rsidP="00C07CE6">
            <w:pPr>
              <w:pStyle w:val="NoSpacing"/>
              <w:jc w:val="both"/>
              <w:rPr>
                <w:rFonts w:asciiTheme="minorHAnsi" w:hAnsiTheme="minorHAnsi" w:cstheme="minorHAnsi"/>
                <w:sz w:val="24"/>
                <w:szCs w:val="24"/>
                <w:lang w:val="id-ID"/>
              </w:rPr>
            </w:pPr>
          </w:p>
        </w:tc>
      </w:tr>
      <w:tr w:rsidR="00C07CE6" w:rsidRPr="001B1F5F" w14:paraId="5C69C3B9" w14:textId="77777777" w:rsidTr="0039514E">
        <w:trPr>
          <w:trHeight w:val="73"/>
          <w:jc w:val="center"/>
        </w:trPr>
        <w:tc>
          <w:tcPr>
            <w:tcW w:w="2674" w:type="dxa"/>
            <w:tcBorders>
              <w:top w:val="nil"/>
              <w:left w:val="nil"/>
              <w:bottom w:val="nil"/>
              <w:right w:val="nil"/>
            </w:tcBorders>
            <w:vAlign w:val="bottom"/>
          </w:tcPr>
          <w:p w14:paraId="22BD399D"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Variable</w:t>
            </w:r>
          </w:p>
        </w:tc>
        <w:tc>
          <w:tcPr>
            <w:tcW w:w="1461" w:type="dxa"/>
            <w:tcBorders>
              <w:top w:val="nil"/>
              <w:left w:val="nil"/>
              <w:bottom w:val="nil"/>
              <w:right w:val="nil"/>
            </w:tcBorders>
            <w:vAlign w:val="bottom"/>
          </w:tcPr>
          <w:p w14:paraId="5058077D"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Coefficient</w:t>
            </w:r>
          </w:p>
        </w:tc>
        <w:tc>
          <w:tcPr>
            <w:tcW w:w="1603" w:type="dxa"/>
            <w:tcBorders>
              <w:top w:val="nil"/>
              <w:left w:val="nil"/>
              <w:bottom w:val="nil"/>
              <w:right w:val="nil"/>
            </w:tcBorders>
            <w:vAlign w:val="bottom"/>
          </w:tcPr>
          <w:p w14:paraId="5C241CE0"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Std. Error</w:t>
            </w:r>
          </w:p>
        </w:tc>
        <w:tc>
          <w:tcPr>
            <w:tcW w:w="1612" w:type="dxa"/>
            <w:tcBorders>
              <w:top w:val="nil"/>
              <w:left w:val="nil"/>
              <w:bottom w:val="nil"/>
              <w:right w:val="nil"/>
            </w:tcBorders>
            <w:vAlign w:val="bottom"/>
          </w:tcPr>
          <w:p w14:paraId="7074AEBD"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t-Statistic</w:t>
            </w:r>
          </w:p>
        </w:tc>
        <w:tc>
          <w:tcPr>
            <w:tcW w:w="1321" w:type="dxa"/>
            <w:tcBorders>
              <w:top w:val="nil"/>
              <w:left w:val="nil"/>
              <w:bottom w:val="nil"/>
              <w:right w:val="nil"/>
            </w:tcBorders>
            <w:vAlign w:val="bottom"/>
          </w:tcPr>
          <w:p w14:paraId="4760820B"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Prob.</w:t>
            </w:r>
          </w:p>
        </w:tc>
      </w:tr>
      <w:tr w:rsidR="00C07CE6" w:rsidRPr="001B1F5F" w14:paraId="24052289" w14:textId="77777777" w:rsidTr="0039514E">
        <w:trPr>
          <w:trHeight w:val="21"/>
          <w:jc w:val="center"/>
        </w:trPr>
        <w:tc>
          <w:tcPr>
            <w:tcW w:w="2674" w:type="dxa"/>
            <w:tcBorders>
              <w:top w:val="nil"/>
              <w:left w:val="nil"/>
              <w:bottom w:val="double" w:sz="6" w:space="2" w:color="auto"/>
              <w:right w:val="nil"/>
            </w:tcBorders>
            <w:vAlign w:val="bottom"/>
          </w:tcPr>
          <w:p w14:paraId="60868757" w14:textId="77777777" w:rsidR="00C07CE6" w:rsidRPr="001B1F5F" w:rsidRDefault="00C07CE6" w:rsidP="00C07CE6">
            <w:pPr>
              <w:pStyle w:val="NoSpacing"/>
              <w:jc w:val="both"/>
              <w:rPr>
                <w:rFonts w:asciiTheme="minorHAnsi" w:hAnsiTheme="minorHAnsi" w:cstheme="minorHAnsi"/>
                <w:sz w:val="24"/>
                <w:szCs w:val="24"/>
                <w:lang w:val="id-ID"/>
              </w:rPr>
            </w:pPr>
          </w:p>
        </w:tc>
        <w:tc>
          <w:tcPr>
            <w:tcW w:w="1461" w:type="dxa"/>
            <w:tcBorders>
              <w:top w:val="nil"/>
              <w:left w:val="nil"/>
              <w:bottom w:val="double" w:sz="6" w:space="2" w:color="auto"/>
              <w:right w:val="nil"/>
            </w:tcBorders>
            <w:vAlign w:val="bottom"/>
          </w:tcPr>
          <w:p w14:paraId="24030D78" w14:textId="77777777" w:rsidR="00C07CE6" w:rsidRPr="001B1F5F" w:rsidRDefault="00C07CE6" w:rsidP="00C07CE6">
            <w:pPr>
              <w:pStyle w:val="NoSpacing"/>
              <w:jc w:val="both"/>
              <w:rPr>
                <w:rFonts w:asciiTheme="minorHAnsi" w:hAnsiTheme="minorHAnsi" w:cstheme="minorHAnsi"/>
                <w:sz w:val="24"/>
                <w:szCs w:val="24"/>
                <w:lang w:val="id-ID"/>
              </w:rPr>
            </w:pPr>
          </w:p>
        </w:tc>
        <w:tc>
          <w:tcPr>
            <w:tcW w:w="1603" w:type="dxa"/>
            <w:tcBorders>
              <w:top w:val="nil"/>
              <w:left w:val="nil"/>
              <w:bottom w:val="double" w:sz="6" w:space="2" w:color="auto"/>
              <w:right w:val="nil"/>
            </w:tcBorders>
            <w:vAlign w:val="bottom"/>
          </w:tcPr>
          <w:p w14:paraId="2428678C" w14:textId="77777777" w:rsidR="00C07CE6" w:rsidRPr="001B1F5F" w:rsidRDefault="00C07CE6" w:rsidP="00C07CE6">
            <w:pPr>
              <w:pStyle w:val="NoSpacing"/>
              <w:jc w:val="both"/>
              <w:rPr>
                <w:rFonts w:asciiTheme="minorHAnsi" w:hAnsiTheme="minorHAnsi" w:cstheme="minorHAnsi"/>
                <w:sz w:val="24"/>
                <w:szCs w:val="24"/>
                <w:lang w:val="id-ID"/>
              </w:rPr>
            </w:pPr>
          </w:p>
        </w:tc>
        <w:tc>
          <w:tcPr>
            <w:tcW w:w="1612" w:type="dxa"/>
            <w:tcBorders>
              <w:top w:val="nil"/>
              <w:left w:val="nil"/>
              <w:bottom w:val="double" w:sz="6" w:space="2" w:color="auto"/>
              <w:right w:val="nil"/>
            </w:tcBorders>
            <w:vAlign w:val="bottom"/>
          </w:tcPr>
          <w:p w14:paraId="3D192D1E" w14:textId="77777777" w:rsidR="00C07CE6" w:rsidRPr="001B1F5F" w:rsidRDefault="00C07CE6" w:rsidP="00C07CE6">
            <w:pPr>
              <w:pStyle w:val="NoSpacing"/>
              <w:jc w:val="both"/>
              <w:rPr>
                <w:rFonts w:asciiTheme="minorHAnsi" w:hAnsiTheme="minorHAnsi" w:cstheme="minorHAnsi"/>
                <w:sz w:val="24"/>
                <w:szCs w:val="24"/>
                <w:lang w:val="id-ID"/>
              </w:rPr>
            </w:pPr>
          </w:p>
        </w:tc>
        <w:tc>
          <w:tcPr>
            <w:tcW w:w="1321" w:type="dxa"/>
            <w:tcBorders>
              <w:top w:val="nil"/>
              <w:left w:val="nil"/>
              <w:bottom w:val="double" w:sz="6" w:space="2" w:color="auto"/>
              <w:right w:val="nil"/>
            </w:tcBorders>
            <w:vAlign w:val="bottom"/>
          </w:tcPr>
          <w:p w14:paraId="09E4A7C7" w14:textId="77777777" w:rsidR="00C07CE6" w:rsidRPr="001B1F5F" w:rsidRDefault="00C07CE6" w:rsidP="00C07CE6">
            <w:pPr>
              <w:pStyle w:val="NoSpacing"/>
              <w:jc w:val="both"/>
              <w:rPr>
                <w:rFonts w:asciiTheme="minorHAnsi" w:hAnsiTheme="minorHAnsi" w:cstheme="minorHAnsi"/>
                <w:sz w:val="24"/>
                <w:szCs w:val="24"/>
                <w:lang w:val="id-ID"/>
              </w:rPr>
            </w:pPr>
          </w:p>
        </w:tc>
      </w:tr>
      <w:tr w:rsidR="00C07CE6" w:rsidRPr="001B1F5F" w14:paraId="64338E56" w14:textId="77777777" w:rsidTr="0039514E">
        <w:trPr>
          <w:trHeight w:val="41"/>
          <w:jc w:val="center"/>
        </w:trPr>
        <w:tc>
          <w:tcPr>
            <w:tcW w:w="2674" w:type="dxa"/>
            <w:tcBorders>
              <w:top w:val="nil"/>
              <w:left w:val="nil"/>
              <w:bottom w:val="nil"/>
              <w:right w:val="nil"/>
            </w:tcBorders>
            <w:vAlign w:val="bottom"/>
          </w:tcPr>
          <w:p w14:paraId="740A9FCF" w14:textId="77777777" w:rsidR="00C07CE6" w:rsidRPr="001B1F5F" w:rsidRDefault="00C07CE6" w:rsidP="00C07CE6">
            <w:pPr>
              <w:pStyle w:val="NoSpacing"/>
              <w:jc w:val="both"/>
              <w:rPr>
                <w:rFonts w:asciiTheme="minorHAnsi" w:hAnsiTheme="minorHAnsi" w:cstheme="minorHAnsi"/>
                <w:sz w:val="24"/>
                <w:szCs w:val="24"/>
                <w:lang w:val="id-ID"/>
              </w:rPr>
            </w:pPr>
          </w:p>
        </w:tc>
        <w:tc>
          <w:tcPr>
            <w:tcW w:w="1461" w:type="dxa"/>
            <w:tcBorders>
              <w:top w:val="nil"/>
              <w:left w:val="nil"/>
              <w:bottom w:val="nil"/>
              <w:right w:val="nil"/>
            </w:tcBorders>
            <w:vAlign w:val="bottom"/>
          </w:tcPr>
          <w:p w14:paraId="56A1B153" w14:textId="77777777" w:rsidR="00C07CE6" w:rsidRPr="001B1F5F" w:rsidRDefault="00C07CE6" w:rsidP="00C07CE6">
            <w:pPr>
              <w:pStyle w:val="NoSpacing"/>
              <w:jc w:val="both"/>
              <w:rPr>
                <w:rFonts w:asciiTheme="minorHAnsi" w:hAnsiTheme="minorHAnsi" w:cstheme="minorHAnsi"/>
                <w:sz w:val="24"/>
                <w:szCs w:val="24"/>
                <w:lang w:val="id-ID"/>
              </w:rPr>
            </w:pPr>
          </w:p>
        </w:tc>
        <w:tc>
          <w:tcPr>
            <w:tcW w:w="1603" w:type="dxa"/>
            <w:tcBorders>
              <w:top w:val="nil"/>
              <w:left w:val="nil"/>
              <w:bottom w:val="nil"/>
              <w:right w:val="nil"/>
            </w:tcBorders>
            <w:vAlign w:val="bottom"/>
          </w:tcPr>
          <w:p w14:paraId="141C9100" w14:textId="77777777" w:rsidR="00C07CE6" w:rsidRPr="001B1F5F" w:rsidRDefault="00C07CE6" w:rsidP="00C07CE6">
            <w:pPr>
              <w:pStyle w:val="NoSpacing"/>
              <w:jc w:val="both"/>
              <w:rPr>
                <w:rFonts w:asciiTheme="minorHAnsi" w:hAnsiTheme="minorHAnsi" w:cstheme="minorHAnsi"/>
                <w:sz w:val="24"/>
                <w:szCs w:val="24"/>
                <w:lang w:val="id-ID"/>
              </w:rPr>
            </w:pPr>
          </w:p>
        </w:tc>
        <w:tc>
          <w:tcPr>
            <w:tcW w:w="1612" w:type="dxa"/>
            <w:tcBorders>
              <w:top w:val="nil"/>
              <w:left w:val="nil"/>
              <w:bottom w:val="nil"/>
              <w:right w:val="nil"/>
            </w:tcBorders>
            <w:vAlign w:val="bottom"/>
          </w:tcPr>
          <w:p w14:paraId="26F36A4B" w14:textId="77777777" w:rsidR="00C07CE6" w:rsidRPr="001B1F5F" w:rsidRDefault="00C07CE6" w:rsidP="00C07CE6">
            <w:pPr>
              <w:pStyle w:val="NoSpacing"/>
              <w:jc w:val="both"/>
              <w:rPr>
                <w:rFonts w:asciiTheme="minorHAnsi" w:hAnsiTheme="minorHAnsi" w:cstheme="minorHAnsi"/>
                <w:sz w:val="24"/>
                <w:szCs w:val="24"/>
                <w:lang w:val="id-ID"/>
              </w:rPr>
            </w:pPr>
          </w:p>
        </w:tc>
        <w:tc>
          <w:tcPr>
            <w:tcW w:w="1321" w:type="dxa"/>
            <w:tcBorders>
              <w:top w:val="nil"/>
              <w:left w:val="nil"/>
              <w:bottom w:val="nil"/>
              <w:right w:val="nil"/>
            </w:tcBorders>
            <w:vAlign w:val="bottom"/>
          </w:tcPr>
          <w:p w14:paraId="6341890C" w14:textId="77777777" w:rsidR="00C07CE6" w:rsidRPr="001B1F5F" w:rsidRDefault="00C07CE6" w:rsidP="00C07CE6">
            <w:pPr>
              <w:pStyle w:val="NoSpacing"/>
              <w:jc w:val="both"/>
              <w:rPr>
                <w:rFonts w:asciiTheme="minorHAnsi" w:hAnsiTheme="minorHAnsi" w:cstheme="minorHAnsi"/>
                <w:sz w:val="24"/>
                <w:szCs w:val="24"/>
                <w:lang w:val="id-ID"/>
              </w:rPr>
            </w:pPr>
          </w:p>
        </w:tc>
      </w:tr>
      <w:tr w:rsidR="00C07CE6" w:rsidRPr="001B1F5F" w14:paraId="7CBB628E" w14:textId="77777777" w:rsidTr="0039514E">
        <w:trPr>
          <w:trHeight w:val="73"/>
          <w:jc w:val="center"/>
        </w:trPr>
        <w:tc>
          <w:tcPr>
            <w:tcW w:w="2674" w:type="dxa"/>
            <w:tcBorders>
              <w:top w:val="nil"/>
              <w:left w:val="nil"/>
              <w:bottom w:val="nil"/>
              <w:right w:val="nil"/>
            </w:tcBorders>
            <w:vAlign w:val="bottom"/>
          </w:tcPr>
          <w:p w14:paraId="28E8788C"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C</w:t>
            </w:r>
          </w:p>
        </w:tc>
        <w:tc>
          <w:tcPr>
            <w:tcW w:w="1461" w:type="dxa"/>
            <w:tcBorders>
              <w:top w:val="nil"/>
              <w:left w:val="nil"/>
              <w:bottom w:val="nil"/>
              <w:right w:val="nil"/>
            </w:tcBorders>
            <w:vAlign w:val="bottom"/>
          </w:tcPr>
          <w:p w14:paraId="79655DA2"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0.929577</w:t>
            </w:r>
          </w:p>
        </w:tc>
        <w:tc>
          <w:tcPr>
            <w:tcW w:w="1603" w:type="dxa"/>
            <w:tcBorders>
              <w:top w:val="nil"/>
              <w:left w:val="nil"/>
              <w:bottom w:val="nil"/>
              <w:right w:val="nil"/>
            </w:tcBorders>
            <w:vAlign w:val="bottom"/>
          </w:tcPr>
          <w:p w14:paraId="40C61AB2"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0.273182</w:t>
            </w:r>
          </w:p>
        </w:tc>
        <w:tc>
          <w:tcPr>
            <w:tcW w:w="1612" w:type="dxa"/>
            <w:tcBorders>
              <w:top w:val="nil"/>
              <w:left w:val="nil"/>
              <w:bottom w:val="nil"/>
              <w:right w:val="nil"/>
            </w:tcBorders>
            <w:vAlign w:val="bottom"/>
          </w:tcPr>
          <w:p w14:paraId="0AFAE879"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3.402775</w:t>
            </w:r>
          </w:p>
        </w:tc>
        <w:tc>
          <w:tcPr>
            <w:tcW w:w="1321" w:type="dxa"/>
            <w:tcBorders>
              <w:top w:val="nil"/>
              <w:left w:val="nil"/>
              <w:bottom w:val="nil"/>
              <w:right w:val="nil"/>
            </w:tcBorders>
            <w:vAlign w:val="bottom"/>
          </w:tcPr>
          <w:p w14:paraId="56B51A36"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0.0008</w:t>
            </w:r>
          </w:p>
        </w:tc>
      </w:tr>
      <w:tr w:rsidR="00C07CE6" w:rsidRPr="001B1F5F" w14:paraId="3DC1ACB0" w14:textId="77777777" w:rsidTr="0039514E">
        <w:trPr>
          <w:trHeight w:val="73"/>
          <w:jc w:val="center"/>
        </w:trPr>
        <w:tc>
          <w:tcPr>
            <w:tcW w:w="2674" w:type="dxa"/>
            <w:tcBorders>
              <w:top w:val="nil"/>
              <w:left w:val="nil"/>
              <w:bottom w:val="nil"/>
              <w:right w:val="nil"/>
            </w:tcBorders>
            <w:vAlign w:val="bottom"/>
          </w:tcPr>
          <w:p w14:paraId="3BC0D2BA"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TAXFORCE</w:t>
            </w:r>
          </w:p>
        </w:tc>
        <w:tc>
          <w:tcPr>
            <w:tcW w:w="1461" w:type="dxa"/>
            <w:tcBorders>
              <w:top w:val="nil"/>
              <w:left w:val="nil"/>
              <w:bottom w:val="nil"/>
              <w:right w:val="nil"/>
            </w:tcBorders>
            <w:vAlign w:val="bottom"/>
          </w:tcPr>
          <w:p w14:paraId="6F610E0C"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-0.004108</w:t>
            </w:r>
          </w:p>
        </w:tc>
        <w:tc>
          <w:tcPr>
            <w:tcW w:w="1603" w:type="dxa"/>
            <w:tcBorders>
              <w:top w:val="nil"/>
              <w:left w:val="nil"/>
              <w:bottom w:val="nil"/>
              <w:right w:val="nil"/>
            </w:tcBorders>
            <w:vAlign w:val="bottom"/>
          </w:tcPr>
          <w:p w14:paraId="7964D273"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0.002482</w:t>
            </w:r>
          </w:p>
        </w:tc>
        <w:tc>
          <w:tcPr>
            <w:tcW w:w="1612" w:type="dxa"/>
            <w:tcBorders>
              <w:top w:val="nil"/>
              <w:left w:val="nil"/>
              <w:bottom w:val="nil"/>
              <w:right w:val="nil"/>
            </w:tcBorders>
            <w:vAlign w:val="bottom"/>
          </w:tcPr>
          <w:p w14:paraId="2BEA7BCA"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-1.655528</w:t>
            </w:r>
          </w:p>
        </w:tc>
        <w:tc>
          <w:tcPr>
            <w:tcW w:w="1321" w:type="dxa"/>
            <w:tcBorders>
              <w:top w:val="nil"/>
              <w:left w:val="nil"/>
              <w:bottom w:val="nil"/>
              <w:right w:val="nil"/>
            </w:tcBorders>
            <w:vAlign w:val="bottom"/>
          </w:tcPr>
          <w:p w14:paraId="5D9BD184"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0.0989</w:t>
            </w:r>
          </w:p>
        </w:tc>
      </w:tr>
      <w:tr w:rsidR="00C07CE6" w:rsidRPr="001B1F5F" w14:paraId="408D67B3" w14:textId="77777777" w:rsidTr="0039514E">
        <w:trPr>
          <w:trHeight w:val="73"/>
          <w:jc w:val="center"/>
        </w:trPr>
        <w:tc>
          <w:tcPr>
            <w:tcW w:w="2674" w:type="dxa"/>
            <w:tcBorders>
              <w:top w:val="nil"/>
              <w:left w:val="nil"/>
              <w:bottom w:val="nil"/>
              <w:right w:val="nil"/>
            </w:tcBorders>
            <w:vAlign w:val="bottom"/>
          </w:tcPr>
          <w:p w14:paraId="4A0ABFD1"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RPTRAN</w:t>
            </w:r>
          </w:p>
        </w:tc>
        <w:tc>
          <w:tcPr>
            <w:tcW w:w="1461" w:type="dxa"/>
            <w:tcBorders>
              <w:top w:val="nil"/>
              <w:left w:val="nil"/>
              <w:bottom w:val="nil"/>
              <w:right w:val="nil"/>
            </w:tcBorders>
            <w:vAlign w:val="bottom"/>
          </w:tcPr>
          <w:p w14:paraId="196D93A3"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0.005999</w:t>
            </w:r>
          </w:p>
        </w:tc>
        <w:tc>
          <w:tcPr>
            <w:tcW w:w="1603" w:type="dxa"/>
            <w:tcBorders>
              <w:top w:val="nil"/>
              <w:left w:val="nil"/>
              <w:bottom w:val="nil"/>
              <w:right w:val="nil"/>
            </w:tcBorders>
            <w:vAlign w:val="bottom"/>
          </w:tcPr>
          <w:p w14:paraId="1BC59E79"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0.003490</w:t>
            </w:r>
          </w:p>
        </w:tc>
        <w:tc>
          <w:tcPr>
            <w:tcW w:w="1612" w:type="dxa"/>
            <w:tcBorders>
              <w:top w:val="nil"/>
              <w:left w:val="nil"/>
              <w:bottom w:val="nil"/>
              <w:right w:val="nil"/>
            </w:tcBorders>
            <w:vAlign w:val="bottom"/>
          </w:tcPr>
          <w:p w14:paraId="075D3BA9"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1.718634</w:t>
            </w:r>
          </w:p>
        </w:tc>
        <w:tc>
          <w:tcPr>
            <w:tcW w:w="1321" w:type="dxa"/>
            <w:tcBorders>
              <w:top w:val="nil"/>
              <w:left w:val="nil"/>
              <w:bottom w:val="nil"/>
              <w:right w:val="nil"/>
            </w:tcBorders>
            <w:vAlign w:val="bottom"/>
          </w:tcPr>
          <w:p w14:paraId="1EC6829C"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0.0867</w:t>
            </w:r>
          </w:p>
        </w:tc>
      </w:tr>
      <w:tr w:rsidR="00C07CE6" w:rsidRPr="001B1F5F" w14:paraId="1D807EA1" w14:textId="77777777" w:rsidTr="0039514E">
        <w:trPr>
          <w:trHeight w:val="73"/>
          <w:jc w:val="center"/>
        </w:trPr>
        <w:tc>
          <w:tcPr>
            <w:tcW w:w="2674" w:type="dxa"/>
            <w:tcBorders>
              <w:top w:val="nil"/>
              <w:left w:val="nil"/>
              <w:bottom w:val="nil"/>
              <w:right w:val="nil"/>
            </w:tcBorders>
            <w:vAlign w:val="bottom"/>
          </w:tcPr>
          <w:p w14:paraId="0BD00D61"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KAP</w:t>
            </w:r>
          </w:p>
        </w:tc>
        <w:tc>
          <w:tcPr>
            <w:tcW w:w="1461" w:type="dxa"/>
            <w:tcBorders>
              <w:top w:val="nil"/>
              <w:left w:val="nil"/>
              <w:bottom w:val="nil"/>
              <w:right w:val="nil"/>
            </w:tcBorders>
            <w:vAlign w:val="bottom"/>
          </w:tcPr>
          <w:p w14:paraId="479E036D"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0.102052</w:t>
            </w:r>
          </w:p>
        </w:tc>
        <w:tc>
          <w:tcPr>
            <w:tcW w:w="1603" w:type="dxa"/>
            <w:tcBorders>
              <w:top w:val="nil"/>
              <w:left w:val="nil"/>
              <w:bottom w:val="nil"/>
              <w:right w:val="nil"/>
            </w:tcBorders>
            <w:vAlign w:val="bottom"/>
          </w:tcPr>
          <w:p w14:paraId="13F6477D"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0.082585</w:t>
            </w:r>
          </w:p>
        </w:tc>
        <w:tc>
          <w:tcPr>
            <w:tcW w:w="1612" w:type="dxa"/>
            <w:tcBorders>
              <w:top w:val="nil"/>
              <w:left w:val="nil"/>
              <w:bottom w:val="nil"/>
              <w:right w:val="nil"/>
            </w:tcBorders>
            <w:vAlign w:val="bottom"/>
          </w:tcPr>
          <w:p w14:paraId="6A21468C"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1.235725</w:t>
            </w:r>
          </w:p>
        </w:tc>
        <w:tc>
          <w:tcPr>
            <w:tcW w:w="1321" w:type="dxa"/>
            <w:tcBorders>
              <w:top w:val="nil"/>
              <w:left w:val="nil"/>
              <w:bottom w:val="nil"/>
              <w:right w:val="nil"/>
            </w:tcBorders>
            <w:vAlign w:val="bottom"/>
          </w:tcPr>
          <w:p w14:paraId="199C5549"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0.2176</w:t>
            </w:r>
          </w:p>
        </w:tc>
      </w:tr>
      <w:tr w:rsidR="00C07CE6" w:rsidRPr="001B1F5F" w14:paraId="564CD1E9" w14:textId="77777777" w:rsidTr="0039514E">
        <w:trPr>
          <w:trHeight w:val="73"/>
          <w:jc w:val="center"/>
        </w:trPr>
        <w:tc>
          <w:tcPr>
            <w:tcW w:w="2674" w:type="dxa"/>
            <w:tcBorders>
              <w:top w:val="nil"/>
              <w:left w:val="nil"/>
              <w:bottom w:val="nil"/>
              <w:right w:val="nil"/>
            </w:tcBorders>
            <w:vAlign w:val="bottom"/>
          </w:tcPr>
          <w:p w14:paraId="6586A74D"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SIZE</w:t>
            </w:r>
          </w:p>
        </w:tc>
        <w:tc>
          <w:tcPr>
            <w:tcW w:w="1461" w:type="dxa"/>
            <w:tcBorders>
              <w:top w:val="nil"/>
              <w:left w:val="nil"/>
              <w:bottom w:val="nil"/>
              <w:right w:val="nil"/>
            </w:tcBorders>
            <w:vAlign w:val="bottom"/>
          </w:tcPr>
          <w:p w14:paraId="79CD1361"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-0.035566</w:t>
            </w:r>
          </w:p>
        </w:tc>
        <w:tc>
          <w:tcPr>
            <w:tcW w:w="1603" w:type="dxa"/>
            <w:tcBorders>
              <w:top w:val="nil"/>
              <w:left w:val="nil"/>
              <w:bottom w:val="nil"/>
              <w:right w:val="nil"/>
            </w:tcBorders>
            <w:vAlign w:val="bottom"/>
          </w:tcPr>
          <w:p w14:paraId="4B6D6B58"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0.012157</w:t>
            </w:r>
          </w:p>
        </w:tc>
        <w:tc>
          <w:tcPr>
            <w:tcW w:w="1612" w:type="dxa"/>
            <w:tcBorders>
              <w:top w:val="nil"/>
              <w:left w:val="nil"/>
              <w:bottom w:val="nil"/>
              <w:right w:val="nil"/>
            </w:tcBorders>
            <w:vAlign w:val="bottom"/>
          </w:tcPr>
          <w:p w14:paraId="3FBBF998"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-2.925625</w:t>
            </w:r>
          </w:p>
        </w:tc>
        <w:tc>
          <w:tcPr>
            <w:tcW w:w="1321" w:type="dxa"/>
            <w:tcBorders>
              <w:top w:val="nil"/>
              <w:left w:val="nil"/>
              <w:bottom w:val="nil"/>
              <w:right w:val="nil"/>
            </w:tcBorders>
            <w:vAlign w:val="bottom"/>
          </w:tcPr>
          <w:p w14:paraId="296301E7"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0.0037</w:t>
            </w:r>
          </w:p>
        </w:tc>
      </w:tr>
      <w:tr w:rsidR="00C07CE6" w:rsidRPr="001B1F5F" w14:paraId="61E70053" w14:textId="77777777" w:rsidTr="0039514E">
        <w:trPr>
          <w:trHeight w:val="73"/>
          <w:jc w:val="center"/>
        </w:trPr>
        <w:tc>
          <w:tcPr>
            <w:tcW w:w="2674" w:type="dxa"/>
            <w:tcBorders>
              <w:top w:val="nil"/>
              <w:left w:val="nil"/>
              <w:bottom w:val="nil"/>
              <w:right w:val="nil"/>
            </w:tcBorders>
            <w:vAlign w:val="bottom"/>
          </w:tcPr>
          <w:p w14:paraId="5C1DAD10"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LEV</w:t>
            </w:r>
          </w:p>
        </w:tc>
        <w:tc>
          <w:tcPr>
            <w:tcW w:w="1461" w:type="dxa"/>
            <w:tcBorders>
              <w:top w:val="nil"/>
              <w:left w:val="nil"/>
              <w:bottom w:val="nil"/>
              <w:right w:val="nil"/>
            </w:tcBorders>
            <w:vAlign w:val="bottom"/>
          </w:tcPr>
          <w:p w14:paraId="79851B59"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0.604832</w:t>
            </w:r>
          </w:p>
        </w:tc>
        <w:tc>
          <w:tcPr>
            <w:tcW w:w="1603" w:type="dxa"/>
            <w:tcBorders>
              <w:top w:val="nil"/>
              <w:left w:val="nil"/>
              <w:bottom w:val="nil"/>
              <w:right w:val="nil"/>
            </w:tcBorders>
            <w:vAlign w:val="bottom"/>
          </w:tcPr>
          <w:p w14:paraId="02770BB0"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0.198704</w:t>
            </w:r>
          </w:p>
        </w:tc>
        <w:tc>
          <w:tcPr>
            <w:tcW w:w="1612" w:type="dxa"/>
            <w:tcBorders>
              <w:top w:val="nil"/>
              <w:left w:val="nil"/>
              <w:bottom w:val="nil"/>
              <w:right w:val="nil"/>
            </w:tcBorders>
            <w:vAlign w:val="bottom"/>
          </w:tcPr>
          <w:p w14:paraId="2C08170F"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3.043881</w:t>
            </w:r>
          </w:p>
        </w:tc>
        <w:tc>
          <w:tcPr>
            <w:tcW w:w="1321" w:type="dxa"/>
            <w:tcBorders>
              <w:top w:val="nil"/>
              <w:left w:val="nil"/>
              <w:bottom w:val="nil"/>
              <w:right w:val="nil"/>
            </w:tcBorders>
            <w:vAlign w:val="bottom"/>
          </w:tcPr>
          <w:p w14:paraId="4D69762A"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0.0025</w:t>
            </w:r>
          </w:p>
        </w:tc>
      </w:tr>
      <w:tr w:rsidR="00C07CE6" w:rsidRPr="001B1F5F" w14:paraId="2BE3DFF9" w14:textId="77777777" w:rsidTr="0039514E">
        <w:trPr>
          <w:trHeight w:val="73"/>
          <w:jc w:val="center"/>
        </w:trPr>
        <w:tc>
          <w:tcPr>
            <w:tcW w:w="2674" w:type="dxa"/>
            <w:tcBorders>
              <w:top w:val="nil"/>
              <w:left w:val="nil"/>
              <w:bottom w:val="nil"/>
              <w:right w:val="nil"/>
            </w:tcBorders>
            <w:vAlign w:val="bottom"/>
          </w:tcPr>
          <w:p w14:paraId="76044C89"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ROA</w:t>
            </w:r>
          </w:p>
        </w:tc>
        <w:tc>
          <w:tcPr>
            <w:tcW w:w="1461" w:type="dxa"/>
            <w:tcBorders>
              <w:top w:val="nil"/>
              <w:left w:val="nil"/>
              <w:bottom w:val="nil"/>
              <w:right w:val="nil"/>
            </w:tcBorders>
            <w:vAlign w:val="bottom"/>
          </w:tcPr>
          <w:p w14:paraId="1DF9228D"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-0.170127</w:t>
            </w:r>
          </w:p>
        </w:tc>
        <w:tc>
          <w:tcPr>
            <w:tcW w:w="1603" w:type="dxa"/>
            <w:tcBorders>
              <w:top w:val="nil"/>
              <w:left w:val="nil"/>
              <w:bottom w:val="nil"/>
              <w:right w:val="nil"/>
            </w:tcBorders>
            <w:vAlign w:val="bottom"/>
          </w:tcPr>
          <w:p w14:paraId="79AF3B95"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0.309946</w:t>
            </w:r>
          </w:p>
        </w:tc>
        <w:tc>
          <w:tcPr>
            <w:tcW w:w="1612" w:type="dxa"/>
            <w:tcBorders>
              <w:top w:val="nil"/>
              <w:left w:val="nil"/>
              <w:bottom w:val="nil"/>
              <w:right w:val="nil"/>
            </w:tcBorders>
            <w:vAlign w:val="bottom"/>
          </w:tcPr>
          <w:p w14:paraId="528DC474"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-0.548894</w:t>
            </w:r>
          </w:p>
        </w:tc>
        <w:tc>
          <w:tcPr>
            <w:tcW w:w="1321" w:type="dxa"/>
            <w:tcBorders>
              <w:top w:val="nil"/>
              <w:left w:val="nil"/>
              <w:bottom w:val="nil"/>
              <w:right w:val="nil"/>
            </w:tcBorders>
            <w:vAlign w:val="bottom"/>
          </w:tcPr>
          <w:p w14:paraId="23B6839D"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0.5835</w:t>
            </w:r>
          </w:p>
        </w:tc>
      </w:tr>
      <w:tr w:rsidR="00C07CE6" w:rsidRPr="001B1F5F" w14:paraId="1928B305" w14:textId="77777777" w:rsidTr="0039514E">
        <w:trPr>
          <w:trHeight w:val="73"/>
          <w:jc w:val="center"/>
        </w:trPr>
        <w:tc>
          <w:tcPr>
            <w:tcW w:w="2674" w:type="dxa"/>
            <w:tcBorders>
              <w:top w:val="nil"/>
              <w:left w:val="nil"/>
              <w:bottom w:val="nil"/>
              <w:right w:val="nil"/>
            </w:tcBorders>
            <w:vAlign w:val="bottom"/>
          </w:tcPr>
          <w:p w14:paraId="6014274D"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CAPINT</w:t>
            </w:r>
          </w:p>
        </w:tc>
        <w:tc>
          <w:tcPr>
            <w:tcW w:w="1461" w:type="dxa"/>
            <w:tcBorders>
              <w:top w:val="nil"/>
              <w:left w:val="nil"/>
              <w:bottom w:val="nil"/>
              <w:right w:val="nil"/>
            </w:tcBorders>
            <w:vAlign w:val="bottom"/>
          </w:tcPr>
          <w:p w14:paraId="003498A2"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-0.269079</w:t>
            </w:r>
          </w:p>
        </w:tc>
        <w:tc>
          <w:tcPr>
            <w:tcW w:w="1603" w:type="dxa"/>
            <w:tcBorders>
              <w:top w:val="nil"/>
              <w:left w:val="nil"/>
              <w:bottom w:val="nil"/>
              <w:right w:val="nil"/>
            </w:tcBorders>
            <w:vAlign w:val="bottom"/>
          </w:tcPr>
          <w:p w14:paraId="7CD0224A"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0.155211</w:t>
            </w:r>
          </w:p>
        </w:tc>
        <w:tc>
          <w:tcPr>
            <w:tcW w:w="1612" w:type="dxa"/>
            <w:tcBorders>
              <w:top w:val="nil"/>
              <w:left w:val="nil"/>
              <w:bottom w:val="nil"/>
              <w:right w:val="nil"/>
            </w:tcBorders>
            <w:vAlign w:val="bottom"/>
          </w:tcPr>
          <w:p w14:paraId="57C06DDD"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-1.733635</w:t>
            </w:r>
          </w:p>
        </w:tc>
        <w:tc>
          <w:tcPr>
            <w:tcW w:w="1321" w:type="dxa"/>
            <w:tcBorders>
              <w:top w:val="nil"/>
              <w:left w:val="nil"/>
              <w:bottom w:val="nil"/>
              <w:right w:val="nil"/>
            </w:tcBorders>
            <w:vAlign w:val="bottom"/>
          </w:tcPr>
          <w:p w14:paraId="0C439E9D"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0.0840</w:t>
            </w:r>
          </w:p>
        </w:tc>
      </w:tr>
      <w:tr w:rsidR="00C07CE6" w:rsidRPr="001B1F5F" w14:paraId="2C498B31" w14:textId="77777777" w:rsidTr="0039514E">
        <w:trPr>
          <w:trHeight w:val="21"/>
          <w:jc w:val="center"/>
        </w:trPr>
        <w:tc>
          <w:tcPr>
            <w:tcW w:w="2674" w:type="dxa"/>
            <w:tcBorders>
              <w:top w:val="nil"/>
              <w:left w:val="nil"/>
              <w:bottom w:val="double" w:sz="6" w:space="2" w:color="auto"/>
              <w:right w:val="nil"/>
            </w:tcBorders>
            <w:vAlign w:val="bottom"/>
          </w:tcPr>
          <w:p w14:paraId="49689351" w14:textId="77777777" w:rsidR="00C07CE6" w:rsidRPr="001B1F5F" w:rsidRDefault="00C07CE6" w:rsidP="00C07CE6">
            <w:pPr>
              <w:pStyle w:val="NoSpacing"/>
              <w:jc w:val="both"/>
              <w:rPr>
                <w:rFonts w:asciiTheme="minorHAnsi" w:hAnsiTheme="minorHAnsi" w:cstheme="minorHAnsi"/>
                <w:sz w:val="24"/>
                <w:szCs w:val="24"/>
                <w:lang w:val="id-ID"/>
              </w:rPr>
            </w:pPr>
          </w:p>
        </w:tc>
        <w:tc>
          <w:tcPr>
            <w:tcW w:w="1461" w:type="dxa"/>
            <w:tcBorders>
              <w:top w:val="nil"/>
              <w:left w:val="nil"/>
              <w:bottom w:val="double" w:sz="6" w:space="2" w:color="auto"/>
              <w:right w:val="nil"/>
            </w:tcBorders>
            <w:vAlign w:val="bottom"/>
          </w:tcPr>
          <w:p w14:paraId="4BE875B9" w14:textId="77777777" w:rsidR="00C07CE6" w:rsidRPr="001B1F5F" w:rsidRDefault="00C07CE6" w:rsidP="00C07CE6">
            <w:pPr>
              <w:pStyle w:val="NoSpacing"/>
              <w:jc w:val="both"/>
              <w:rPr>
                <w:rFonts w:asciiTheme="minorHAnsi" w:hAnsiTheme="minorHAnsi" w:cstheme="minorHAnsi"/>
                <w:sz w:val="24"/>
                <w:szCs w:val="24"/>
                <w:lang w:val="id-ID"/>
              </w:rPr>
            </w:pPr>
          </w:p>
        </w:tc>
        <w:tc>
          <w:tcPr>
            <w:tcW w:w="1603" w:type="dxa"/>
            <w:tcBorders>
              <w:top w:val="nil"/>
              <w:left w:val="nil"/>
              <w:bottom w:val="double" w:sz="6" w:space="2" w:color="auto"/>
              <w:right w:val="nil"/>
            </w:tcBorders>
            <w:vAlign w:val="bottom"/>
          </w:tcPr>
          <w:p w14:paraId="2FF9183E" w14:textId="77777777" w:rsidR="00C07CE6" w:rsidRPr="001B1F5F" w:rsidRDefault="00C07CE6" w:rsidP="00C07CE6">
            <w:pPr>
              <w:pStyle w:val="NoSpacing"/>
              <w:jc w:val="both"/>
              <w:rPr>
                <w:rFonts w:asciiTheme="minorHAnsi" w:hAnsiTheme="minorHAnsi" w:cstheme="minorHAnsi"/>
                <w:sz w:val="24"/>
                <w:szCs w:val="24"/>
                <w:lang w:val="id-ID"/>
              </w:rPr>
            </w:pPr>
          </w:p>
        </w:tc>
        <w:tc>
          <w:tcPr>
            <w:tcW w:w="1612" w:type="dxa"/>
            <w:tcBorders>
              <w:top w:val="nil"/>
              <w:left w:val="nil"/>
              <w:bottom w:val="double" w:sz="6" w:space="2" w:color="auto"/>
              <w:right w:val="nil"/>
            </w:tcBorders>
            <w:vAlign w:val="bottom"/>
          </w:tcPr>
          <w:p w14:paraId="0223DACB" w14:textId="77777777" w:rsidR="00C07CE6" w:rsidRPr="001B1F5F" w:rsidRDefault="00C07CE6" w:rsidP="00C07CE6">
            <w:pPr>
              <w:pStyle w:val="NoSpacing"/>
              <w:jc w:val="both"/>
              <w:rPr>
                <w:rFonts w:asciiTheme="minorHAnsi" w:hAnsiTheme="minorHAnsi" w:cstheme="minorHAnsi"/>
                <w:sz w:val="24"/>
                <w:szCs w:val="24"/>
                <w:lang w:val="id-ID"/>
              </w:rPr>
            </w:pPr>
          </w:p>
        </w:tc>
        <w:tc>
          <w:tcPr>
            <w:tcW w:w="1321" w:type="dxa"/>
            <w:tcBorders>
              <w:top w:val="nil"/>
              <w:left w:val="nil"/>
              <w:bottom w:val="double" w:sz="6" w:space="2" w:color="auto"/>
              <w:right w:val="nil"/>
            </w:tcBorders>
            <w:vAlign w:val="bottom"/>
          </w:tcPr>
          <w:p w14:paraId="348D502D" w14:textId="77777777" w:rsidR="00C07CE6" w:rsidRPr="001B1F5F" w:rsidRDefault="00C07CE6" w:rsidP="00C07CE6">
            <w:pPr>
              <w:pStyle w:val="NoSpacing"/>
              <w:jc w:val="both"/>
              <w:rPr>
                <w:rFonts w:asciiTheme="minorHAnsi" w:hAnsiTheme="minorHAnsi" w:cstheme="minorHAnsi"/>
                <w:sz w:val="24"/>
                <w:szCs w:val="24"/>
                <w:lang w:val="id-ID"/>
              </w:rPr>
            </w:pPr>
          </w:p>
        </w:tc>
      </w:tr>
      <w:tr w:rsidR="00C07CE6" w:rsidRPr="001B1F5F" w14:paraId="3ADF3570" w14:textId="77777777" w:rsidTr="0039514E">
        <w:trPr>
          <w:trHeight w:val="39"/>
          <w:jc w:val="center"/>
        </w:trPr>
        <w:tc>
          <w:tcPr>
            <w:tcW w:w="2674" w:type="dxa"/>
            <w:tcBorders>
              <w:top w:val="nil"/>
              <w:left w:val="nil"/>
              <w:bottom w:val="nil"/>
              <w:right w:val="nil"/>
            </w:tcBorders>
            <w:vAlign w:val="bottom"/>
          </w:tcPr>
          <w:p w14:paraId="1C6DB42A" w14:textId="77777777" w:rsidR="00C07CE6" w:rsidRPr="001B1F5F" w:rsidRDefault="00C07CE6" w:rsidP="00C07CE6">
            <w:pPr>
              <w:pStyle w:val="NoSpacing"/>
              <w:jc w:val="both"/>
              <w:rPr>
                <w:rFonts w:asciiTheme="minorHAnsi" w:hAnsiTheme="minorHAnsi" w:cstheme="minorHAnsi"/>
                <w:sz w:val="24"/>
                <w:szCs w:val="24"/>
                <w:lang w:val="id-ID"/>
              </w:rPr>
            </w:pPr>
          </w:p>
        </w:tc>
        <w:tc>
          <w:tcPr>
            <w:tcW w:w="1461" w:type="dxa"/>
            <w:tcBorders>
              <w:top w:val="nil"/>
              <w:left w:val="nil"/>
              <w:bottom w:val="nil"/>
              <w:right w:val="nil"/>
            </w:tcBorders>
            <w:vAlign w:val="bottom"/>
          </w:tcPr>
          <w:p w14:paraId="37A56F2C" w14:textId="77777777" w:rsidR="00C07CE6" w:rsidRPr="001B1F5F" w:rsidRDefault="00C07CE6" w:rsidP="00C07CE6">
            <w:pPr>
              <w:pStyle w:val="NoSpacing"/>
              <w:jc w:val="both"/>
              <w:rPr>
                <w:rFonts w:asciiTheme="minorHAnsi" w:hAnsiTheme="minorHAnsi" w:cstheme="minorHAnsi"/>
                <w:sz w:val="24"/>
                <w:szCs w:val="24"/>
                <w:lang w:val="id-ID"/>
              </w:rPr>
            </w:pPr>
          </w:p>
        </w:tc>
        <w:tc>
          <w:tcPr>
            <w:tcW w:w="1603" w:type="dxa"/>
            <w:tcBorders>
              <w:top w:val="nil"/>
              <w:left w:val="nil"/>
              <w:bottom w:val="nil"/>
              <w:right w:val="nil"/>
            </w:tcBorders>
            <w:vAlign w:val="bottom"/>
          </w:tcPr>
          <w:p w14:paraId="60A6C280" w14:textId="77777777" w:rsidR="00C07CE6" w:rsidRPr="001B1F5F" w:rsidRDefault="00C07CE6" w:rsidP="00C07CE6">
            <w:pPr>
              <w:pStyle w:val="NoSpacing"/>
              <w:jc w:val="both"/>
              <w:rPr>
                <w:rFonts w:asciiTheme="minorHAnsi" w:hAnsiTheme="minorHAnsi" w:cstheme="minorHAnsi"/>
                <w:sz w:val="24"/>
                <w:szCs w:val="24"/>
                <w:lang w:val="id-ID"/>
              </w:rPr>
            </w:pPr>
          </w:p>
        </w:tc>
        <w:tc>
          <w:tcPr>
            <w:tcW w:w="1612" w:type="dxa"/>
            <w:tcBorders>
              <w:top w:val="nil"/>
              <w:left w:val="nil"/>
              <w:bottom w:val="nil"/>
              <w:right w:val="nil"/>
            </w:tcBorders>
            <w:vAlign w:val="bottom"/>
          </w:tcPr>
          <w:p w14:paraId="78808855" w14:textId="77777777" w:rsidR="00C07CE6" w:rsidRPr="001B1F5F" w:rsidRDefault="00C07CE6" w:rsidP="00C07CE6">
            <w:pPr>
              <w:pStyle w:val="NoSpacing"/>
              <w:jc w:val="both"/>
              <w:rPr>
                <w:rFonts w:asciiTheme="minorHAnsi" w:hAnsiTheme="minorHAnsi" w:cstheme="minorHAnsi"/>
                <w:sz w:val="24"/>
                <w:szCs w:val="24"/>
                <w:lang w:val="id-ID"/>
              </w:rPr>
            </w:pPr>
          </w:p>
        </w:tc>
        <w:tc>
          <w:tcPr>
            <w:tcW w:w="1321" w:type="dxa"/>
            <w:tcBorders>
              <w:top w:val="nil"/>
              <w:left w:val="nil"/>
              <w:bottom w:val="nil"/>
              <w:right w:val="nil"/>
            </w:tcBorders>
            <w:vAlign w:val="bottom"/>
          </w:tcPr>
          <w:p w14:paraId="75FB0AEE" w14:textId="77777777" w:rsidR="00C07CE6" w:rsidRPr="001B1F5F" w:rsidRDefault="00C07CE6" w:rsidP="00C07CE6">
            <w:pPr>
              <w:pStyle w:val="NoSpacing"/>
              <w:jc w:val="both"/>
              <w:rPr>
                <w:rFonts w:asciiTheme="minorHAnsi" w:hAnsiTheme="minorHAnsi" w:cstheme="minorHAnsi"/>
                <w:sz w:val="24"/>
                <w:szCs w:val="24"/>
                <w:lang w:val="id-ID"/>
              </w:rPr>
            </w:pPr>
          </w:p>
        </w:tc>
      </w:tr>
      <w:tr w:rsidR="00C07CE6" w:rsidRPr="001B1F5F" w14:paraId="7ABA98C2" w14:textId="77777777" w:rsidTr="0039514E">
        <w:trPr>
          <w:trHeight w:val="73"/>
          <w:jc w:val="center"/>
        </w:trPr>
        <w:tc>
          <w:tcPr>
            <w:tcW w:w="2674" w:type="dxa"/>
            <w:tcBorders>
              <w:top w:val="nil"/>
              <w:left w:val="nil"/>
              <w:bottom w:val="nil"/>
              <w:right w:val="nil"/>
            </w:tcBorders>
            <w:vAlign w:val="bottom"/>
          </w:tcPr>
          <w:p w14:paraId="2011CF99" w14:textId="77777777" w:rsidR="00C07CE6" w:rsidRPr="001B1F5F" w:rsidRDefault="00C07CE6" w:rsidP="00C07CE6">
            <w:pPr>
              <w:pStyle w:val="NoSpacing"/>
              <w:jc w:val="both"/>
              <w:rPr>
                <w:rFonts w:asciiTheme="minorHAnsi" w:hAnsiTheme="minorHAnsi" w:cstheme="minorHAnsi"/>
                <w:sz w:val="24"/>
                <w:szCs w:val="24"/>
                <w:lang w:val="id-ID"/>
              </w:rPr>
            </w:pPr>
          </w:p>
        </w:tc>
        <w:tc>
          <w:tcPr>
            <w:tcW w:w="3064" w:type="dxa"/>
            <w:gridSpan w:val="2"/>
            <w:tcBorders>
              <w:top w:val="nil"/>
              <w:left w:val="nil"/>
              <w:bottom w:val="nil"/>
              <w:right w:val="nil"/>
            </w:tcBorders>
            <w:vAlign w:val="bottom"/>
          </w:tcPr>
          <w:p w14:paraId="6655E61D"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Effects Specification</w:t>
            </w:r>
          </w:p>
        </w:tc>
        <w:tc>
          <w:tcPr>
            <w:tcW w:w="1612" w:type="dxa"/>
            <w:tcBorders>
              <w:top w:val="nil"/>
              <w:left w:val="nil"/>
              <w:bottom w:val="nil"/>
              <w:right w:val="nil"/>
            </w:tcBorders>
            <w:vAlign w:val="bottom"/>
          </w:tcPr>
          <w:p w14:paraId="0869D5F5" w14:textId="77777777" w:rsidR="00C07CE6" w:rsidRPr="001B1F5F" w:rsidRDefault="00C07CE6" w:rsidP="00C07CE6">
            <w:pPr>
              <w:pStyle w:val="NoSpacing"/>
              <w:jc w:val="both"/>
              <w:rPr>
                <w:rFonts w:asciiTheme="minorHAnsi" w:hAnsiTheme="minorHAnsi" w:cstheme="minorHAnsi"/>
                <w:sz w:val="24"/>
                <w:szCs w:val="24"/>
                <w:lang w:val="id-ID"/>
              </w:rPr>
            </w:pPr>
          </w:p>
        </w:tc>
        <w:tc>
          <w:tcPr>
            <w:tcW w:w="1321" w:type="dxa"/>
            <w:tcBorders>
              <w:top w:val="nil"/>
              <w:left w:val="nil"/>
              <w:bottom w:val="nil"/>
              <w:right w:val="nil"/>
            </w:tcBorders>
            <w:vAlign w:val="bottom"/>
          </w:tcPr>
          <w:p w14:paraId="5F41CF4D" w14:textId="77777777" w:rsidR="00C07CE6" w:rsidRPr="001B1F5F" w:rsidRDefault="00C07CE6" w:rsidP="00C07CE6">
            <w:pPr>
              <w:pStyle w:val="NoSpacing"/>
              <w:jc w:val="both"/>
              <w:rPr>
                <w:rFonts w:asciiTheme="minorHAnsi" w:hAnsiTheme="minorHAnsi" w:cstheme="minorHAnsi"/>
                <w:sz w:val="24"/>
                <w:szCs w:val="24"/>
                <w:lang w:val="id-ID"/>
              </w:rPr>
            </w:pPr>
          </w:p>
        </w:tc>
      </w:tr>
      <w:tr w:rsidR="00C07CE6" w:rsidRPr="001B1F5F" w14:paraId="5CC04693" w14:textId="77777777" w:rsidTr="0039514E">
        <w:trPr>
          <w:trHeight w:val="21"/>
          <w:jc w:val="center"/>
        </w:trPr>
        <w:tc>
          <w:tcPr>
            <w:tcW w:w="2674" w:type="dxa"/>
            <w:tcBorders>
              <w:top w:val="nil"/>
              <w:left w:val="nil"/>
              <w:bottom w:val="double" w:sz="6" w:space="2" w:color="auto"/>
              <w:right w:val="nil"/>
            </w:tcBorders>
            <w:vAlign w:val="bottom"/>
          </w:tcPr>
          <w:p w14:paraId="638337DF" w14:textId="77777777" w:rsidR="00C07CE6" w:rsidRPr="001B1F5F" w:rsidRDefault="00C07CE6" w:rsidP="00C07CE6">
            <w:pPr>
              <w:pStyle w:val="NoSpacing"/>
              <w:jc w:val="both"/>
              <w:rPr>
                <w:rFonts w:asciiTheme="minorHAnsi" w:hAnsiTheme="minorHAnsi" w:cstheme="minorHAnsi"/>
                <w:sz w:val="24"/>
                <w:szCs w:val="24"/>
                <w:lang w:val="id-ID"/>
              </w:rPr>
            </w:pPr>
          </w:p>
        </w:tc>
        <w:tc>
          <w:tcPr>
            <w:tcW w:w="1461" w:type="dxa"/>
            <w:tcBorders>
              <w:top w:val="nil"/>
              <w:left w:val="nil"/>
              <w:bottom w:val="double" w:sz="6" w:space="2" w:color="auto"/>
              <w:right w:val="nil"/>
            </w:tcBorders>
            <w:vAlign w:val="bottom"/>
          </w:tcPr>
          <w:p w14:paraId="3C034758" w14:textId="77777777" w:rsidR="00C07CE6" w:rsidRPr="001B1F5F" w:rsidRDefault="00C07CE6" w:rsidP="00C07CE6">
            <w:pPr>
              <w:pStyle w:val="NoSpacing"/>
              <w:jc w:val="both"/>
              <w:rPr>
                <w:rFonts w:asciiTheme="minorHAnsi" w:hAnsiTheme="minorHAnsi" w:cstheme="minorHAnsi"/>
                <w:sz w:val="24"/>
                <w:szCs w:val="24"/>
                <w:lang w:val="id-ID"/>
              </w:rPr>
            </w:pPr>
          </w:p>
        </w:tc>
        <w:tc>
          <w:tcPr>
            <w:tcW w:w="1603" w:type="dxa"/>
            <w:tcBorders>
              <w:top w:val="nil"/>
              <w:left w:val="nil"/>
              <w:bottom w:val="double" w:sz="6" w:space="2" w:color="auto"/>
              <w:right w:val="nil"/>
            </w:tcBorders>
            <w:vAlign w:val="bottom"/>
          </w:tcPr>
          <w:p w14:paraId="64D4D2EF" w14:textId="77777777" w:rsidR="00C07CE6" w:rsidRPr="001B1F5F" w:rsidRDefault="00C07CE6" w:rsidP="00C07CE6">
            <w:pPr>
              <w:pStyle w:val="NoSpacing"/>
              <w:jc w:val="both"/>
              <w:rPr>
                <w:rFonts w:asciiTheme="minorHAnsi" w:hAnsiTheme="minorHAnsi" w:cstheme="minorHAnsi"/>
                <w:sz w:val="24"/>
                <w:szCs w:val="24"/>
                <w:lang w:val="id-ID"/>
              </w:rPr>
            </w:pPr>
          </w:p>
        </w:tc>
        <w:tc>
          <w:tcPr>
            <w:tcW w:w="1612" w:type="dxa"/>
            <w:tcBorders>
              <w:top w:val="nil"/>
              <w:left w:val="nil"/>
              <w:bottom w:val="double" w:sz="6" w:space="2" w:color="auto"/>
              <w:right w:val="nil"/>
            </w:tcBorders>
            <w:vAlign w:val="bottom"/>
          </w:tcPr>
          <w:p w14:paraId="53ACFE1A" w14:textId="77777777" w:rsidR="00C07CE6" w:rsidRPr="001B1F5F" w:rsidRDefault="00C07CE6" w:rsidP="00C07CE6">
            <w:pPr>
              <w:pStyle w:val="NoSpacing"/>
              <w:jc w:val="both"/>
              <w:rPr>
                <w:rFonts w:asciiTheme="minorHAnsi" w:hAnsiTheme="minorHAnsi" w:cstheme="minorHAnsi"/>
                <w:sz w:val="24"/>
                <w:szCs w:val="24"/>
                <w:lang w:val="id-ID"/>
              </w:rPr>
            </w:pPr>
          </w:p>
        </w:tc>
        <w:tc>
          <w:tcPr>
            <w:tcW w:w="1321" w:type="dxa"/>
            <w:tcBorders>
              <w:top w:val="nil"/>
              <w:left w:val="nil"/>
              <w:bottom w:val="double" w:sz="6" w:space="2" w:color="auto"/>
              <w:right w:val="nil"/>
            </w:tcBorders>
            <w:vAlign w:val="bottom"/>
          </w:tcPr>
          <w:p w14:paraId="2E9D1F23" w14:textId="77777777" w:rsidR="00C07CE6" w:rsidRPr="001B1F5F" w:rsidRDefault="00C07CE6" w:rsidP="00C07CE6">
            <w:pPr>
              <w:pStyle w:val="NoSpacing"/>
              <w:jc w:val="both"/>
              <w:rPr>
                <w:rFonts w:asciiTheme="minorHAnsi" w:hAnsiTheme="minorHAnsi" w:cstheme="minorHAnsi"/>
                <w:sz w:val="24"/>
                <w:szCs w:val="24"/>
                <w:lang w:val="id-ID"/>
              </w:rPr>
            </w:pPr>
          </w:p>
        </w:tc>
      </w:tr>
      <w:tr w:rsidR="00C07CE6" w:rsidRPr="001B1F5F" w14:paraId="1F160DBD" w14:textId="77777777" w:rsidTr="0039514E">
        <w:trPr>
          <w:trHeight w:val="39"/>
          <w:jc w:val="center"/>
        </w:trPr>
        <w:tc>
          <w:tcPr>
            <w:tcW w:w="2674" w:type="dxa"/>
            <w:tcBorders>
              <w:top w:val="nil"/>
              <w:left w:val="nil"/>
              <w:bottom w:val="nil"/>
              <w:right w:val="nil"/>
            </w:tcBorders>
            <w:vAlign w:val="bottom"/>
          </w:tcPr>
          <w:p w14:paraId="57604C78" w14:textId="77777777" w:rsidR="00C07CE6" w:rsidRPr="001B1F5F" w:rsidRDefault="00C07CE6" w:rsidP="00C07CE6">
            <w:pPr>
              <w:pStyle w:val="NoSpacing"/>
              <w:jc w:val="both"/>
              <w:rPr>
                <w:rFonts w:asciiTheme="minorHAnsi" w:hAnsiTheme="minorHAnsi" w:cstheme="minorHAnsi"/>
                <w:sz w:val="24"/>
                <w:szCs w:val="24"/>
                <w:lang w:val="id-ID"/>
              </w:rPr>
            </w:pPr>
          </w:p>
        </w:tc>
        <w:tc>
          <w:tcPr>
            <w:tcW w:w="1461" w:type="dxa"/>
            <w:tcBorders>
              <w:top w:val="nil"/>
              <w:left w:val="nil"/>
              <w:bottom w:val="nil"/>
              <w:right w:val="nil"/>
            </w:tcBorders>
            <w:vAlign w:val="bottom"/>
          </w:tcPr>
          <w:p w14:paraId="246273FB" w14:textId="77777777" w:rsidR="00C07CE6" w:rsidRPr="001B1F5F" w:rsidRDefault="00C07CE6" w:rsidP="00C07CE6">
            <w:pPr>
              <w:pStyle w:val="NoSpacing"/>
              <w:jc w:val="both"/>
              <w:rPr>
                <w:rFonts w:asciiTheme="minorHAnsi" w:hAnsiTheme="minorHAnsi" w:cstheme="minorHAnsi"/>
                <w:sz w:val="24"/>
                <w:szCs w:val="24"/>
                <w:lang w:val="id-ID"/>
              </w:rPr>
            </w:pPr>
          </w:p>
        </w:tc>
        <w:tc>
          <w:tcPr>
            <w:tcW w:w="1603" w:type="dxa"/>
            <w:tcBorders>
              <w:top w:val="nil"/>
              <w:left w:val="nil"/>
              <w:bottom w:val="nil"/>
              <w:right w:val="nil"/>
            </w:tcBorders>
            <w:vAlign w:val="bottom"/>
          </w:tcPr>
          <w:p w14:paraId="70083C99" w14:textId="77777777" w:rsidR="00C07CE6" w:rsidRPr="001B1F5F" w:rsidRDefault="00C07CE6" w:rsidP="00C07CE6">
            <w:pPr>
              <w:pStyle w:val="NoSpacing"/>
              <w:jc w:val="both"/>
              <w:rPr>
                <w:rFonts w:asciiTheme="minorHAnsi" w:hAnsiTheme="minorHAnsi" w:cstheme="minorHAnsi"/>
                <w:sz w:val="24"/>
                <w:szCs w:val="24"/>
                <w:lang w:val="id-ID"/>
              </w:rPr>
            </w:pPr>
          </w:p>
        </w:tc>
        <w:tc>
          <w:tcPr>
            <w:tcW w:w="1612" w:type="dxa"/>
            <w:tcBorders>
              <w:top w:val="nil"/>
              <w:left w:val="nil"/>
              <w:bottom w:val="nil"/>
              <w:right w:val="nil"/>
            </w:tcBorders>
            <w:vAlign w:val="bottom"/>
          </w:tcPr>
          <w:p w14:paraId="0709A050" w14:textId="77777777" w:rsidR="00C07CE6" w:rsidRPr="001B1F5F" w:rsidRDefault="00C07CE6" w:rsidP="00C07CE6">
            <w:pPr>
              <w:pStyle w:val="NoSpacing"/>
              <w:jc w:val="both"/>
              <w:rPr>
                <w:rFonts w:asciiTheme="minorHAnsi" w:hAnsiTheme="minorHAnsi" w:cstheme="minorHAnsi"/>
                <w:sz w:val="24"/>
                <w:szCs w:val="24"/>
                <w:lang w:val="id-ID"/>
              </w:rPr>
            </w:pPr>
          </w:p>
        </w:tc>
        <w:tc>
          <w:tcPr>
            <w:tcW w:w="1321" w:type="dxa"/>
            <w:tcBorders>
              <w:top w:val="nil"/>
              <w:left w:val="nil"/>
              <w:bottom w:val="nil"/>
              <w:right w:val="nil"/>
            </w:tcBorders>
            <w:vAlign w:val="bottom"/>
          </w:tcPr>
          <w:p w14:paraId="1757D1BD" w14:textId="77777777" w:rsidR="00C07CE6" w:rsidRPr="001B1F5F" w:rsidRDefault="00C07CE6" w:rsidP="00C07CE6">
            <w:pPr>
              <w:pStyle w:val="NoSpacing"/>
              <w:jc w:val="both"/>
              <w:rPr>
                <w:rFonts w:asciiTheme="minorHAnsi" w:hAnsiTheme="minorHAnsi" w:cstheme="minorHAnsi"/>
                <w:sz w:val="24"/>
                <w:szCs w:val="24"/>
                <w:lang w:val="id-ID"/>
              </w:rPr>
            </w:pPr>
          </w:p>
        </w:tc>
      </w:tr>
      <w:tr w:rsidR="00C07CE6" w:rsidRPr="001B1F5F" w14:paraId="343A8B44" w14:textId="77777777" w:rsidTr="00367936">
        <w:trPr>
          <w:trHeight w:val="73"/>
          <w:jc w:val="center"/>
        </w:trPr>
        <w:tc>
          <w:tcPr>
            <w:tcW w:w="7350" w:type="dxa"/>
            <w:gridSpan w:val="4"/>
            <w:tcBorders>
              <w:top w:val="nil"/>
              <w:left w:val="nil"/>
              <w:bottom w:val="nil"/>
              <w:right w:val="nil"/>
            </w:tcBorders>
            <w:vAlign w:val="bottom"/>
          </w:tcPr>
          <w:p w14:paraId="2C19C97A"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Cross-section fixed (dummy variables)</w:t>
            </w:r>
          </w:p>
        </w:tc>
        <w:tc>
          <w:tcPr>
            <w:tcW w:w="1321" w:type="dxa"/>
            <w:tcBorders>
              <w:top w:val="nil"/>
              <w:left w:val="nil"/>
              <w:bottom w:val="nil"/>
              <w:right w:val="nil"/>
            </w:tcBorders>
            <w:vAlign w:val="bottom"/>
          </w:tcPr>
          <w:p w14:paraId="74532189" w14:textId="77777777" w:rsidR="00C07CE6" w:rsidRPr="001B1F5F" w:rsidRDefault="00C07CE6" w:rsidP="00C07CE6">
            <w:pPr>
              <w:pStyle w:val="NoSpacing"/>
              <w:jc w:val="both"/>
              <w:rPr>
                <w:rFonts w:asciiTheme="minorHAnsi" w:hAnsiTheme="minorHAnsi" w:cstheme="minorHAnsi"/>
                <w:sz w:val="24"/>
                <w:szCs w:val="24"/>
                <w:lang w:val="id-ID"/>
              </w:rPr>
            </w:pPr>
          </w:p>
        </w:tc>
      </w:tr>
      <w:tr w:rsidR="00C07CE6" w:rsidRPr="001B1F5F" w14:paraId="7E26A484" w14:textId="77777777" w:rsidTr="0039514E">
        <w:trPr>
          <w:trHeight w:val="21"/>
          <w:jc w:val="center"/>
        </w:trPr>
        <w:tc>
          <w:tcPr>
            <w:tcW w:w="2674" w:type="dxa"/>
            <w:tcBorders>
              <w:top w:val="nil"/>
              <w:left w:val="nil"/>
              <w:bottom w:val="double" w:sz="6" w:space="2" w:color="auto"/>
              <w:right w:val="nil"/>
            </w:tcBorders>
            <w:vAlign w:val="bottom"/>
          </w:tcPr>
          <w:p w14:paraId="44FD8B57" w14:textId="77777777" w:rsidR="00C07CE6" w:rsidRPr="001B1F5F" w:rsidRDefault="00C07CE6" w:rsidP="00C07CE6">
            <w:pPr>
              <w:pStyle w:val="NoSpacing"/>
              <w:jc w:val="both"/>
              <w:rPr>
                <w:rFonts w:asciiTheme="minorHAnsi" w:hAnsiTheme="minorHAnsi" w:cstheme="minorHAnsi"/>
                <w:sz w:val="24"/>
                <w:szCs w:val="24"/>
                <w:lang w:val="id-ID"/>
              </w:rPr>
            </w:pPr>
          </w:p>
        </w:tc>
        <w:tc>
          <w:tcPr>
            <w:tcW w:w="1461" w:type="dxa"/>
            <w:tcBorders>
              <w:top w:val="nil"/>
              <w:left w:val="nil"/>
              <w:bottom w:val="double" w:sz="6" w:space="2" w:color="auto"/>
              <w:right w:val="nil"/>
            </w:tcBorders>
            <w:vAlign w:val="bottom"/>
          </w:tcPr>
          <w:p w14:paraId="4DD76810" w14:textId="77777777" w:rsidR="00C07CE6" w:rsidRPr="001B1F5F" w:rsidRDefault="00C07CE6" w:rsidP="00C07CE6">
            <w:pPr>
              <w:pStyle w:val="NoSpacing"/>
              <w:jc w:val="both"/>
              <w:rPr>
                <w:rFonts w:asciiTheme="minorHAnsi" w:hAnsiTheme="minorHAnsi" w:cstheme="minorHAnsi"/>
                <w:sz w:val="24"/>
                <w:szCs w:val="24"/>
                <w:lang w:val="id-ID"/>
              </w:rPr>
            </w:pPr>
          </w:p>
        </w:tc>
        <w:tc>
          <w:tcPr>
            <w:tcW w:w="1603" w:type="dxa"/>
            <w:tcBorders>
              <w:top w:val="nil"/>
              <w:left w:val="nil"/>
              <w:bottom w:val="double" w:sz="6" w:space="2" w:color="auto"/>
              <w:right w:val="nil"/>
            </w:tcBorders>
            <w:vAlign w:val="bottom"/>
          </w:tcPr>
          <w:p w14:paraId="5BC01763" w14:textId="77777777" w:rsidR="00C07CE6" w:rsidRPr="001B1F5F" w:rsidRDefault="00C07CE6" w:rsidP="00C07CE6">
            <w:pPr>
              <w:pStyle w:val="NoSpacing"/>
              <w:jc w:val="both"/>
              <w:rPr>
                <w:rFonts w:asciiTheme="minorHAnsi" w:hAnsiTheme="minorHAnsi" w:cstheme="minorHAnsi"/>
                <w:sz w:val="24"/>
                <w:szCs w:val="24"/>
                <w:lang w:val="id-ID"/>
              </w:rPr>
            </w:pPr>
          </w:p>
        </w:tc>
        <w:tc>
          <w:tcPr>
            <w:tcW w:w="1612" w:type="dxa"/>
            <w:tcBorders>
              <w:top w:val="nil"/>
              <w:left w:val="nil"/>
              <w:bottom w:val="double" w:sz="6" w:space="2" w:color="auto"/>
              <w:right w:val="nil"/>
            </w:tcBorders>
            <w:vAlign w:val="bottom"/>
          </w:tcPr>
          <w:p w14:paraId="734E082E" w14:textId="77777777" w:rsidR="00C07CE6" w:rsidRPr="001B1F5F" w:rsidRDefault="00C07CE6" w:rsidP="00C07CE6">
            <w:pPr>
              <w:pStyle w:val="NoSpacing"/>
              <w:jc w:val="both"/>
              <w:rPr>
                <w:rFonts w:asciiTheme="minorHAnsi" w:hAnsiTheme="minorHAnsi" w:cstheme="minorHAnsi"/>
                <w:sz w:val="24"/>
                <w:szCs w:val="24"/>
                <w:lang w:val="id-ID"/>
              </w:rPr>
            </w:pPr>
          </w:p>
        </w:tc>
        <w:tc>
          <w:tcPr>
            <w:tcW w:w="1321" w:type="dxa"/>
            <w:tcBorders>
              <w:top w:val="nil"/>
              <w:left w:val="nil"/>
              <w:bottom w:val="double" w:sz="6" w:space="2" w:color="auto"/>
              <w:right w:val="nil"/>
            </w:tcBorders>
            <w:vAlign w:val="bottom"/>
          </w:tcPr>
          <w:p w14:paraId="139CB70A" w14:textId="77777777" w:rsidR="00C07CE6" w:rsidRPr="001B1F5F" w:rsidRDefault="00C07CE6" w:rsidP="00C07CE6">
            <w:pPr>
              <w:pStyle w:val="NoSpacing"/>
              <w:jc w:val="both"/>
              <w:rPr>
                <w:rFonts w:asciiTheme="minorHAnsi" w:hAnsiTheme="minorHAnsi" w:cstheme="minorHAnsi"/>
                <w:sz w:val="24"/>
                <w:szCs w:val="24"/>
                <w:lang w:val="id-ID"/>
              </w:rPr>
            </w:pPr>
          </w:p>
        </w:tc>
      </w:tr>
      <w:tr w:rsidR="00C07CE6" w:rsidRPr="001B1F5F" w14:paraId="253CB536" w14:textId="77777777" w:rsidTr="0039514E">
        <w:trPr>
          <w:trHeight w:val="41"/>
          <w:jc w:val="center"/>
        </w:trPr>
        <w:tc>
          <w:tcPr>
            <w:tcW w:w="2674" w:type="dxa"/>
            <w:tcBorders>
              <w:top w:val="nil"/>
              <w:left w:val="nil"/>
              <w:bottom w:val="nil"/>
              <w:right w:val="nil"/>
            </w:tcBorders>
            <w:vAlign w:val="bottom"/>
          </w:tcPr>
          <w:p w14:paraId="2B824A66" w14:textId="77777777" w:rsidR="00C07CE6" w:rsidRPr="001B1F5F" w:rsidRDefault="00C07CE6" w:rsidP="00C07CE6">
            <w:pPr>
              <w:pStyle w:val="NoSpacing"/>
              <w:jc w:val="both"/>
              <w:rPr>
                <w:rFonts w:asciiTheme="minorHAnsi" w:hAnsiTheme="minorHAnsi" w:cstheme="minorHAnsi"/>
                <w:sz w:val="24"/>
                <w:szCs w:val="24"/>
                <w:lang w:val="id-ID"/>
              </w:rPr>
            </w:pPr>
          </w:p>
        </w:tc>
        <w:tc>
          <w:tcPr>
            <w:tcW w:w="1461" w:type="dxa"/>
            <w:tcBorders>
              <w:top w:val="nil"/>
              <w:left w:val="nil"/>
              <w:bottom w:val="nil"/>
              <w:right w:val="nil"/>
            </w:tcBorders>
            <w:vAlign w:val="bottom"/>
          </w:tcPr>
          <w:p w14:paraId="406CFADB" w14:textId="77777777" w:rsidR="00C07CE6" w:rsidRPr="001B1F5F" w:rsidRDefault="00C07CE6" w:rsidP="00C07CE6">
            <w:pPr>
              <w:pStyle w:val="NoSpacing"/>
              <w:jc w:val="both"/>
              <w:rPr>
                <w:rFonts w:asciiTheme="minorHAnsi" w:hAnsiTheme="minorHAnsi" w:cstheme="minorHAnsi"/>
                <w:sz w:val="24"/>
                <w:szCs w:val="24"/>
                <w:lang w:val="id-ID"/>
              </w:rPr>
            </w:pPr>
          </w:p>
        </w:tc>
        <w:tc>
          <w:tcPr>
            <w:tcW w:w="1603" w:type="dxa"/>
            <w:tcBorders>
              <w:top w:val="nil"/>
              <w:left w:val="nil"/>
              <w:bottom w:val="nil"/>
              <w:right w:val="nil"/>
            </w:tcBorders>
            <w:vAlign w:val="bottom"/>
          </w:tcPr>
          <w:p w14:paraId="2FE06832" w14:textId="77777777" w:rsidR="00C07CE6" w:rsidRPr="001B1F5F" w:rsidRDefault="00C07CE6" w:rsidP="00C07CE6">
            <w:pPr>
              <w:pStyle w:val="NoSpacing"/>
              <w:jc w:val="both"/>
              <w:rPr>
                <w:rFonts w:asciiTheme="minorHAnsi" w:hAnsiTheme="minorHAnsi" w:cstheme="minorHAnsi"/>
                <w:sz w:val="24"/>
                <w:szCs w:val="24"/>
                <w:lang w:val="id-ID"/>
              </w:rPr>
            </w:pPr>
          </w:p>
        </w:tc>
        <w:tc>
          <w:tcPr>
            <w:tcW w:w="1612" w:type="dxa"/>
            <w:tcBorders>
              <w:top w:val="nil"/>
              <w:left w:val="nil"/>
              <w:bottom w:val="nil"/>
              <w:right w:val="nil"/>
            </w:tcBorders>
            <w:vAlign w:val="bottom"/>
          </w:tcPr>
          <w:p w14:paraId="4F0A0853" w14:textId="77777777" w:rsidR="00C07CE6" w:rsidRPr="001B1F5F" w:rsidRDefault="00C07CE6" w:rsidP="00C07CE6">
            <w:pPr>
              <w:pStyle w:val="NoSpacing"/>
              <w:jc w:val="both"/>
              <w:rPr>
                <w:rFonts w:asciiTheme="minorHAnsi" w:hAnsiTheme="minorHAnsi" w:cstheme="minorHAnsi"/>
                <w:sz w:val="24"/>
                <w:szCs w:val="24"/>
                <w:lang w:val="id-ID"/>
              </w:rPr>
            </w:pPr>
          </w:p>
        </w:tc>
        <w:tc>
          <w:tcPr>
            <w:tcW w:w="1321" w:type="dxa"/>
            <w:tcBorders>
              <w:top w:val="nil"/>
              <w:left w:val="nil"/>
              <w:bottom w:val="nil"/>
              <w:right w:val="nil"/>
            </w:tcBorders>
            <w:vAlign w:val="bottom"/>
          </w:tcPr>
          <w:p w14:paraId="4EEE40E7" w14:textId="77777777" w:rsidR="00C07CE6" w:rsidRPr="001B1F5F" w:rsidRDefault="00C07CE6" w:rsidP="00C07CE6">
            <w:pPr>
              <w:pStyle w:val="NoSpacing"/>
              <w:jc w:val="both"/>
              <w:rPr>
                <w:rFonts w:asciiTheme="minorHAnsi" w:hAnsiTheme="minorHAnsi" w:cstheme="minorHAnsi"/>
                <w:sz w:val="24"/>
                <w:szCs w:val="24"/>
                <w:lang w:val="id-ID"/>
              </w:rPr>
            </w:pPr>
          </w:p>
        </w:tc>
      </w:tr>
      <w:tr w:rsidR="00C07CE6" w:rsidRPr="001B1F5F" w14:paraId="77CBA8C9" w14:textId="77777777" w:rsidTr="0039514E">
        <w:trPr>
          <w:trHeight w:val="73"/>
          <w:jc w:val="center"/>
        </w:trPr>
        <w:tc>
          <w:tcPr>
            <w:tcW w:w="2674" w:type="dxa"/>
            <w:tcBorders>
              <w:top w:val="nil"/>
              <w:left w:val="nil"/>
              <w:bottom w:val="nil"/>
              <w:right w:val="nil"/>
            </w:tcBorders>
            <w:vAlign w:val="bottom"/>
          </w:tcPr>
          <w:p w14:paraId="2500A38C"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Root MSE</w:t>
            </w:r>
          </w:p>
        </w:tc>
        <w:tc>
          <w:tcPr>
            <w:tcW w:w="1461" w:type="dxa"/>
            <w:tcBorders>
              <w:top w:val="nil"/>
              <w:left w:val="nil"/>
              <w:bottom w:val="nil"/>
              <w:right w:val="nil"/>
            </w:tcBorders>
            <w:vAlign w:val="bottom"/>
          </w:tcPr>
          <w:p w14:paraId="248EFDEA"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0.233289</w:t>
            </w:r>
          </w:p>
        </w:tc>
        <w:tc>
          <w:tcPr>
            <w:tcW w:w="3215" w:type="dxa"/>
            <w:gridSpan w:val="2"/>
            <w:tcBorders>
              <w:top w:val="nil"/>
              <w:left w:val="nil"/>
              <w:bottom w:val="nil"/>
              <w:right w:val="nil"/>
            </w:tcBorders>
            <w:vAlign w:val="bottom"/>
          </w:tcPr>
          <w:p w14:paraId="1CAFBB7F"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R-squared</w:t>
            </w:r>
          </w:p>
        </w:tc>
        <w:tc>
          <w:tcPr>
            <w:tcW w:w="1321" w:type="dxa"/>
            <w:tcBorders>
              <w:top w:val="nil"/>
              <w:left w:val="nil"/>
              <w:bottom w:val="nil"/>
              <w:right w:val="nil"/>
            </w:tcBorders>
            <w:vAlign w:val="bottom"/>
          </w:tcPr>
          <w:p w14:paraId="1CB8C78A"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0.291673</w:t>
            </w:r>
          </w:p>
        </w:tc>
      </w:tr>
      <w:tr w:rsidR="00C07CE6" w:rsidRPr="001B1F5F" w14:paraId="5CA24D66" w14:textId="77777777" w:rsidTr="0039514E">
        <w:trPr>
          <w:trHeight w:val="73"/>
          <w:jc w:val="center"/>
        </w:trPr>
        <w:tc>
          <w:tcPr>
            <w:tcW w:w="2674" w:type="dxa"/>
            <w:tcBorders>
              <w:top w:val="nil"/>
              <w:left w:val="nil"/>
              <w:bottom w:val="nil"/>
              <w:right w:val="nil"/>
            </w:tcBorders>
            <w:vAlign w:val="bottom"/>
          </w:tcPr>
          <w:p w14:paraId="5B1714F0"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Mean dependent var</w:t>
            </w:r>
          </w:p>
        </w:tc>
        <w:tc>
          <w:tcPr>
            <w:tcW w:w="1461" w:type="dxa"/>
            <w:tcBorders>
              <w:top w:val="nil"/>
              <w:left w:val="nil"/>
              <w:bottom w:val="nil"/>
              <w:right w:val="nil"/>
            </w:tcBorders>
            <w:vAlign w:val="bottom"/>
          </w:tcPr>
          <w:p w14:paraId="1F8B2703"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0.361708</w:t>
            </w:r>
          </w:p>
        </w:tc>
        <w:tc>
          <w:tcPr>
            <w:tcW w:w="3215" w:type="dxa"/>
            <w:gridSpan w:val="2"/>
            <w:tcBorders>
              <w:top w:val="nil"/>
              <w:left w:val="nil"/>
              <w:bottom w:val="nil"/>
              <w:right w:val="nil"/>
            </w:tcBorders>
            <w:vAlign w:val="bottom"/>
          </w:tcPr>
          <w:p w14:paraId="3864602D"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Adjusted R-squared</w:t>
            </w:r>
          </w:p>
        </w:tc>
        <w:tc>
          <w:tcPr>
            <w:tcW w:w="1321" w:type="dxa"/>
            <w:tcBorders>
              <w:top w:val="nil"/>
              <w:left w:val="nil"/>
              <w:bottom w:val="nil"/>
              <w:right w:val="nil"/>
            </w:tcBorders>
            <w:vAlign w:val="bottom"/>
          </w:tcPr>
          <w:p w14:paraId="7DCA8020"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0.196415</w:t>
            </w:r>
          </w:p>
        </w:tc>
      </w:tr>
      <w:tr w:rsidR="00C07CE6" w:rsidRPr="001B1F5F" w14:paraId="1DC7554F" w14:textId="77777777" w:rsidTr="0039514E">
        <w:trPr>
          <w:trHeight w:val="73"/>
          <w:jc w:val="center"/>
        </w:trPr>
        <w:tc>
          <w:tcPr>
            <w:tcW w:w="2674" w:type="dxa"/>
            <w:tcBorders>
              <w:top w:val="nil"/>
              <w:left w:val="nil"/>
              <w:bottom w:val="nil"/>
              <w:right w:val="nil"/>
            </w:tcBorders>
            <w:vAlign w:val="bottom"/>
          </w:tcPr>
          <w:p w14:paraId="598032F8"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S.D. dependent var</w:t>
            </w:r>
          </w:p>
        </w:tc>
        <w:tc>
          <w:tcPr>
            <w:tcW w:w="1461" w:type="dxa"/>
            <w:tcBorders>
              <w:top w:val="nil"/>
              <w:left w:val="nil"/>
              <w:bottom w:val="nil"/>
              <w:right w:val="nil"/>
            </w:tcBorders>
            <w:vAlign w:val="bottom"/>
          </w:tcPr>
          <w:p w14:paraId="26304A08"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0.277611</w:t>
            </w:r>
          </w:p>
        </w:tc>
        <w:tc>
          <w:tcPr>
            <w:tcW w:w="3215" w:type="dxa"/>
            <w:gridSpan w:val="2"/>
            <w:tcBorders>
              <w:top w:val="nil"/>
              <w:left w:val="nil"/>
              <w:bottom w:val="nil"/>
              <w:right w:val="nil"/>
            </w:tcBorders>
            <w:vAlign w:val="bottom"/>
          </w:tcPr>
          <w:p w14:paraId="2594EB00"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S.E. of regression</w:t>
            </w:r>
          </w:p>
        </w:tc>
        <w:tc>
          <w:tcPr>
            <w:tcW w:w="1321" w:type="dxa"/>
            <w:tcBorders>
              <w:top w:val="nil"/>
              <w:left w:val="nil"/>
              <w:bottom w:val="nil"/>
              <w:right w:val="nil"/>
            </w:tcBorders>
            <w:vAlign w:val="bottom"/>
          </w:tcPr>
          <w:p w14:paraId="5D082D86"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0.248858</w:t>
            </w:r>
          </w:p>
        </w:tc>
      </w:tr>
      <w:tr w:rsidR="00C07CE6" w:rsidRPr="001B1F5F" w14:paraId="35B76637" w14:textId="77777777" w:rsidTr="0039514E">
        <w:trPr>
          <w:trHeight w:val="73"/>
          <w:jc w:val="center"/>
        </w:trPr>
        <w:tc>
          <w:tcPr>
            <w:tcW w:w="2674" w:type="dxa"/>
            <w:tcBorders>
              <w:top w:val="nil"/>
              <w:left w:val="nil"/>
              <w:bottom w:val="nil"/>
              <w:right w:val="nil"/>
            </w:tcBorders>
            <w:vAlign w:val="bottom"/>
          </w:tcPr>
          <w:p w14:paraId="03207332"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Akaike info criterion</w:t>
            </w:r>
          </w:p>
        </w:tc>
        <w:tc>
          <w:tcPr>
            <w:tcW w:w="1461" w:type="dxa"/>
            <w:tcBorders>
              <w:top w:val="nil"/>
              <w:left w:val="nil"/>
              <w:bottom w:val="nil"/>
              <w:right w:val="nil"/>
            </w:tcBorders>
            <w:vAlign w:val="bottom"/>
          </w:tcPr>
          <w:p w14:paraId="0EF0012F"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0.169345</w:t>
            </w:r>
          </w:p>
        </w:tc>
        <w:tc>
          <w:tcPr>
            <w:tcW w:w="3215" w:type="dxa"/>
            <w:gridSpan w:val="2"/>
            <w:tcBorders>
              <w:top w:val="nil"/>
              <w:left w:val="nil"/>
              <w:bottom w:val="nil"/>
              <w:right w:val="nil"/>
            </w:tcBorders>
            <w:vAlign w:val="bottom"/>
          </w:tcPr>
          <w:p w14:paraId="286A2E83"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Sum squared resid</w:t>
            </w:r>
          </w:p>
        </w:tc>
        <w:tc>
          <w:tcPr>
            <w:tcW w:w="1321" w:type="dxa"/>
            <w:tcBorders>
              <w:top w:val="nil"/>
              <w:left w:val="nil"/>
              <w:bottom w:val="nil"/>
              <w:right w:val="nil"/>
            </w:tcBorders>
            <w:vAlign w:val="bottom"/>
          </w:tcPr>
          <w:p w14:paraId="0C87182E"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17.95981</w:t>
            </w:r>
          </w:p>
        </w:tc>
      </w:tr>
      <w:tr w:rsidR="00C07CE6" w:rsidRPr="001B1F5F" w14:paraId="0D0547F0" w14:textId="77777777" w:rsidTr="0039514E">
        <w:trPr>
          <w:trHeight w:val="73"/>
          <w:jc w:val="center"/>
        </w:trPr>
        <w:tc>
          <w:tcPr>
            <w:tcW w:w="2674" w:type="dxa"/>
            <w:tcBorders>
              <w:top w:val="nil"/>
              <w:left w:val="nil"/>
              <w:bottom w:val="nil"/>
              <w:right w:val="nil"/>
            </w:tcBorders>
            <w:vAlign w:val="bottom"/>
          </w:tcPr>
          <w:p w14:paraId="57D92D16"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Schwarz criterion</w:t>
            </w:r>
          </w:p>
        </w:tc>
        <w:tc>
          <w:tcPr>
            <w:tcW w:w="1461" w:type="dxa"/>
            <w:tcBorders>
              <w:top w:val="nil"/>
              <w:left w:val="nil"/>
              <w:bottom w:val="nil"/>
              <w:right w:val="nil"/>
            </w:tcBorders>
            <w:vAlign w:val="bottom"/>
          </w:tcPr>
          <w:p w14:paraId="41A38E6B"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0.629841</w:t>
            </w:r>
          </w:p>
        </w:tc>
        <w:tc>
          <w:tcPr>
            <w:tcW w:w="3215" w:type="dxa"/>
            <w:gridSpan w:val="2"/>
            <w:tcBorders>
              <w:top w:val="nil"/>
              <w:left w:val="nil"/>
              <w:bottom w:val="nil"/>
              <w:right w:val="nil"/>
            </w:tcBorders>
            <w:vAlign w:val="bottom"/>
          </w:tcPr>
          <w:p w14:paraId="3A9B6827"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Log likelihood</w:t>
            </w:r>
          </w:p>
        </w:tc>
        <w:tc>
          <w:tcPr>
            <w:tcW w:w="1321" w:type="dxa"/>
            <w:tcBorders>
              <w:top w:val="nil"/>
              <w:left w:val="nil"/>
              <w:bottom w:val="nil"/>
              <w:right w:val="nil"/>
            </w:tcBorders>
            <w:vAlign w:val="bottom"/>
          </w:tcPr>
          <w:p w14:paraId="76F76C5E"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12.05810</w:t>
            </w:r>
          </w:p>
        </w:tc>
      </w:tr>
      <w:tr w:rsidR="00C07CE6" w:rsidRPr="001B1F5F" w14:paraId="5768F654" w14:textId="77777777" w:rsidTr="0039514E">
        <w:trPr>
          <w:trHeight w:val="73"/>
          <w:jc w:val="center"/>
        </w:trPr>
        <w:tc>
          <w:tcPr>
            <w:tcW w:w="2674" w:type="dxa"/>
            <w:tcBorders>
              <w:top w:val="nil"/>
              <w:left w:val="nil"/>
              <w:bottom w:val="nil"/>
              <w:right w:val="nil"/>
            </w:tcBorders>
            <w:vAlign w:val="bottom"/>
          </w:tcPr>
          <w:p w14:paraId="1EA58A59"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Hannan-Quinn criter.</w:t>
            </w:r>
          </w:p>
        </w:tc>
        <w:tc>
          <w:tcPr>
            <w:tcW w:w="1461" w:type="dxa"/>
            <w:tcBorders>
              <w:top w:val="nil"/>
              <w:left w:val="nil"/>
              <w:bottom w:val="nil"/>
              <w:right w:val="nil"/>
            </w:tcBorders>
            <w:vAlign w:val="bottom"/>
          </w:tcPr>
          <w:p w14:paraId="4FB928BC"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0.353030</w:t>
            </w:r>
          </w:p>
        </w:tc>
        <w:tc>
          <w:tcPr>
            <w:tcW w:w="3215" w:type="dxa"/>
            <w:gridSpan w:val="2"/>
            <w:tcBorders>
              <w:top w:val="nil"/>
              <w:left w:val="nil"/>
              <w:bottom w:val="nil"/>
              <w:right w:val="nil"/>
            </w:tcBorders>
            <w:vAlign w:val="bottom"/>
          </w:tcPr>
          <w:p w14:paraId="0D5C9B2D"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F-statistic</w:t>
            </w:r>
          </w:p>
        </w:tc>
        <w:tc>
          <w:tcPr>
            <w:tcW w:w="1321" w:type="dxa"/>
            <w:tcBorders>
              <w:top w:val="nil"/>
              <w:left w:val="nil"/>
              <w:bottom w:val="nil"/>
              <w:right w:val="nil"/>
            </w:tcBorders>
            <w:vAlign w:val="bottom"/>
          </w:tcPr>
          <w:p w14:paraId="34B9CFE3"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3.061932</w:t>
            </w:r>
          </w:p>
        </w:tc>
      </w:tr>
      <w:tr w:rsidR="00C07CE6" w:rsidRPr="001B1F5F" w14:paraId="21D295CA" w14:textId="77777777" w:rsidTr="0039514E">
        <w:trPr>
          <w:trHeight w:val="73"/>
          <w:jc w:val="center"/>
        </w:trPr>
        <w:tc>
          <w:tcPr>
            <w:tcW w:w="2674" w:type="dxa"/>
            <w:tcBorders>
              <w:top w:val="nil"/>
              <w:left w:val="nil"/>
              <w:bottom w:val="nil"/>
              <w:right w:val="nil"/>
            </w:tcBorders>
            <w:vAlign w:val="bottom"/>
          </w:tcPr>
          <w:p w14:paraId="70BEDD90"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Durbin-Watson stat</w:t>
            </w:r>
          </w:p>
        </w:tc>
        <w:tc>
          <w:tcPr>
            <w:tcW w:w="1461" w:type="dxa"/>
            <w:tcBorders>
              <w:top w:val="nil"/>
              <w:left w:val="nil"/>
              <w:bottom w:val="nil"/>
              <w:right w:val="nil"/>
            </w:tcBorders>
            <w:vAlign w:val="bottom"/>
          </w:tcPr>
          <w:p w14:paraId="6546D07A"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2.051933</w:t>
            </w:r>
          </w:p>
        </w:tc>
        <w:tc>
          <w:tcPr>
            <w:tcW w:w="3215" w:type="dxa"/>
            <w:gridSpan w:val="2"/>
            <w:tcBorders>
              <w:top w:val="nil"/>
              <w:left w:val="nil"/>
              <w:bottom w:val="nil"/>
              <w:right w:val="nil"/>
            </w:tcBorders>
            <w:vAlign w:val="bottom"/>
          </w:tcPr>
          <w:p w14:paraId="68B8B933"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Prob(F-statistic)</w:t>
            </w:r>
          </w:p>
        </w:tc>
        <w:tc>
          <w:tcPr>
            <w:tcW w:w="1321" w:type="dxa"/>
            <w:tcBorders>
              <w:top w:val="nil"/>
              <w:left w:val="nil"/>
              <w:bottom w:val="nil"/>
              <w:right w:val="nil"/>
            </w:tcBorders>
            <w:vAlign w:val="bottom"/>
          </w:tcPr>
          <w:p w14:paraId="11A5D46A" w14:textId="77777777" w:rsidR="00C07CE6" w:rsidRPr="001B1F5F" w:rsidRDefault="00C07CE6" w:rsidP="00C07CE6">
            <w:pPr>
              <w:pStyle w:val="NoSpacing"/>
              <w:jc w:val="both"/>
              <w:rPr>
                <w:rFonts w:asciiTheme="minorHAnsi" w:hAnsiTheme="minorHAnsi" w:cstheme="minorHAnsi"/>
                <w:sz w:val="24"/>
                <w:szCs w:val="24"/>
                <w:lang w:val="id-ID"/>
              </w:rPr>
            </w:pPr>
            <w:r w:rsidRPr="001B1F5F">
              <w:rPr>
                <w:rFonts w:asciiTheme="minorHAnsi" w:hAnsiTheme="minorHAnsi" w:cstheme="minorHAnsi"/>
                <w:sz w:val="24"/>
                <w:szCs w:val="24"/>
                <w:lang w:val="id-ID"/>
              </w:rPr>
              <w:t>0.000000</w:t>
            </w:r>
          </w:p>
        </w:tc>
      </w:tr>
      <w:tr w:rsidR="00C07CE6" w:rsidRPr="001B1F5F" w14:paraId="79E2C934" w14:textId="77777777" w:rsidTr="0039514E">
        <w:trPr>
          <w:trHeight w:val="21"/>
          <w:jc w:val="center"/>
        </w:trPr>
        <w:tc>
          <w:tcPr>
            <w:tcW w:w="2674" w:type="dxa"/>
            <w:tcBorders>
              <w:top w:val="nil"/>
              <w:left w:val="nil"/>
              <w:bottom w:val="double" w:sz="6" w:space="0" w:color="auto"/>
              <w:right w:val="nil"/>
            </w:tcBorders>
            <w:vAlign w:val="bottom"/>
          </w:tcPr>
          <w:p w14:paraId="26C93176" w14:textId="77777777" w:rsidR="00C07CE6" w:rsidRPr="001B1F5F" w:rsidRDefault="00C07CE6" w:rsidP="00C07CE6">
            <w:pPr>
              <w:pStyle w:val="NoSpacing"/>
              <w:jc w:val="both"/>
              <w:rPr>
                <w:rFonts w:asciiTheme="minorHAnsi" w:hAnsiTheme="minorHAnsi" w:cstheme="minorHAnsi"/>
                <w:sz w:val="24"/>
                <w:szCs w:val="24"/>
                <w:lang w:val="id-ID"/>
              </w:rPr>
            </w:pPr>
          </w:p>
        </w:tc>
        <w:tc>
          <w:tcPr>
            <w:tcW w:w="1461" w:type="dxa"/>
            <w:tcBorders>
              <w:top w:val="nil"/>
              <w:left w:val="nil"/>
              <w:bottom w:val="double" w:sz="6" w:space="0" w:color="auto"/>
              <w:right w:val="nil"/>
            </w:tcBorders>
            <w:vAlign w:val="bottom"/>
          </w:tcPr>
          <w:p w14:paraId="0F7B55DC" w14:textId="77777777" w:rsidR="00C07CE6" w:rsidRPr="001B1F5F" w:rsidRDefault="00C07CE6" w:rsidP="00C07CE6">
            <w:pPr>
              <w:pStyle w:val="NoSpacing"/>
              <w:jc w:val="both"/>
              <w:rPr>
                <w:rFonts w:asciiTheme="minorHAnsi" w:hAnsiTheme="minorHAnsi" w:cstheme="minorHAnsi"/>
                <w:sz w:val="24"/>
                <w:szCs w:val="24"/>
                <w:lang w:val="id-ID"/>
              </w:rPr>
            </w:pPr>
          </w:p>
        </w:tc>
        <w:tc>
          <w:tcPr>
            <w:tcW w:w="1603" w:type="dxa"/>
            <w:tcBorders>
              <w:top w:val="nil"/>
              <w:left w:val="nil"/>
              <w:bottom w:val="double" w:sz="6" w:space="0" w:color="auto"/>
              <w:right w:val="nil"/>
            </w:tcBorders>
            <w:vAlign w:val="bottom"/>
          </w:tcPr>
          <w:p w14:paraId="0999922C" w14:textId="77777777" w:rsidR="00C07CE6" w:rsidRPr="001B1F5F" w:rsidRDefault="00C07CE6" w:rsidP="00C07CE6">
            <w:pPr>
              <w:pStyle w:val="NoSpacing"/>
              <w:jc w:val="both"/>
              <w:rPr>
                <w:rFonts w:asciiTheme="minorHAnsi" w:hAnsiTheme="minorHAnsi" w:cstheme="minorHAnsi"/>
                <w:sz w:val="24"/>
                <w:szCs w:val="24"/>
                <w:lang w:val="id-ID"/>
              </w:rPr>
            </w:pPr>
          </w:p>
        </w:tc>
        <w:tc>
          <w:tcPr>
            <w:tcW w:w="1612" w:type="dxa"/>
            <w:tcBorders>
              <w:top w:val="nil"/>
              <w:left w:val="nil"/>
              <w:bottom w:val="double" w:sz="6" w:space="0" w:color="auto"/>
              <w:right w:val="nil"/>
            </w:tcBorders>
            <w:vAlign w:val="bottom"/>
          </w:tcPr>
          <w:p w14:paraId="63894CC4" w14:textId="77777777" w:rsidR="00C07CE6" w:rsidRPr="001B1F5F" w:rsidRDefault="00C07CE6" w:rsidP="00C07CE6">
            <w:pPr>
              <w:pStyle w:val="NoSpacing"/>
              <w:jc w:val="both"/>
              <w:rPr>
                <w:rFonts w:asciiTheme="minorHAnsi" w:hAnsiTheme="minorHAnsi" w:cstheme="minorHAnsi"/>
                <w:sz w:val="24"/>
                <w:szCs w:val="24"/>
                <w:lang w:val="id-ID"/>
              </w:rPr>
            </w:pPr>
          </w:p>
        </w:tc>
        <w:tc>
          <w:tcPr>
            <w:tcW w:w="1321" w:type="dxa"/>
            <w:tcBorders>
              <w:top w:val="nil"/>
              <w:left w:val="nil"/>
              <w:bottom w:val="double" w:sz="6" w:space="0" w:color="auto"/>
              <w:right w:val="nil"/>
            </w:tcBorders>
            <w:vAlign w:val="bottom"/>
          </w:tcPr>
          <w:p w14:paraId="2552F08B" w14:textId="77777777" w:rsidR="00C07CE6" w:rsidRPr="001B1F5F" w:rsidRDefault="00C07CE6" w:rsidP="00C07CE6">
            <w:pPr>
              <w:pStyle w:val="NoSpacing"/>
              <w:jc w:val="both"/>
              <w:rPr>
                <w:rFonts w:asciiTheme="minorHAnsi" w:hAnsiTheme="minorHAnsi" w:cstheme="minorHAnsi"/>
                <w:sz w:val="24"/>
                <w:szCs w:val="24"/>
                <w:lang w:val="id-ID"/>
              </w:rPr>
            </w:pPr>
          </w:p>
        </w:tc>
      </w:tr>
      <w:tr w:rsidR="00C07CE6" w:rsidRPr="001B1F5F" w14:paraId="5D72F316" w14:textId="77777777" w:rsidTr="0039514E">
        <w:trPr>
          <w:trHeight w:val="39"/>
          <w:jc w:val="center"/>
        </w:trPr>
        <w:tc>
          <w:tcPr>
            <w:tcW w:w="2674" w:type="dxa"/>
            <w:tcBorders>
              <w:top w:val="nil"/>
              <w:left w:val="nil"/>
              <w:bottom w:val="nil"/>
              <w:right w:val="nil"/>
            </w:tcBorders>
            <w:vAlign w:val="bottom"/>
          </w:tcPr>
          <w:p w14:paraId="0C4DBF63" w14:textId="295209E5" w:rsidR="00C07CE6" w:rsidRPr="001B1F5F" w:rsidRDefault="00C07CE6" w:rsidP="00C07CE6">
            <w:pPr>
              <w:pStyle w:val="NoSpacing"/>
              <w:jc w:val="both"/>
              <w:rPr>
                <w:rFonts w:asciiTheme="minorHAnsi" w:hAnsiTheme="minorHAnsi" w:cstheme="minorHAnsi"/>
                <w:sz w:val="24"/>
                <w:szCs w:val="24"/>
              </w:rPr>
            </w:pPr>
          </w:p>
        </w:tc>
        <w:tc>
          <w:tcPr>
            <w:tcW w:w="1461" w:type="dxa"/>
            <w:tcBorders>
              <w:top w:val="nil"/>
              <w:left w:val="nil"/>
              <w:bottom w:val="nil"/>
              <w:right w:val="nil"/>
            </w:tcBorders>
            <w:vAlign w:val="bottom"/>
          </w:tcPr>
          <w:p w14:paraId="1DB3F73C" w14:textId="77777777" w:rsidR="00C07CE6" w:rsidRPr="001B1F5F" w:rsidRDefault="00C07CE6" w:rsidP="00C07CE6">
            <w:pPr>
              <w:pStyle w:val="NoSpacing"/>
              <w:jc w:val="both"/>
              <w:rPr>
                <w:rFonts w:asciiTheme="minorHAnsi" w:hAnsiTheme="minorHAnsi" w:cstheme="minorHAnsi"/>
                <w:sz w:val="24"/>
                <w:szCs w:val="24"/>
                <w:lang w:val="id-ID"/>
              </w:rPr>
            </w:pPr>
          </w:p>
        </w:tc>
        <w:tc>
          <w:tcPr>
            <w:tcW w:w="1603" w:type="dxa"/>
            <w:tcBorders>
              <w:top w:val="nil"/>
              <w:left w:val="nil"/>
              <w:bottom w:val="nil"/>
              <w:right w:val="nil"/>
            </w:tcBorders>
            <w:vAlign w:val="bottom"/>
          </w:tcPr>
          <w:p w14:paraId="1C206A1A" w14:textId="77777777" w:rsidR="00C07CE6" w:rsidRPr="001B1F5F" w:rsidRDefault="00C07CE6" w:rsidP="00C07CE6">
            <w:pPr>
              <w:pStyle w:val="NoSpacing"/>
              <w:jc w:val="both"/>
              <w:rPr>
                <w:rFonts w:asciiTheme="minorHAnsi" w:hAnsiTheme="minorHAnsi" w:cstheme="minorHAnsi"/>
                <w:sz w:val="24"/>
                <w:szCs w:val="24"/>
                <w:lang w:val="id-ID"/>
              </w:rPr>
            </w:pPr>
          </w:p>
        </w:tc>
        <w:tc>
          <w:tcPr>
            <w:tcW w:w="1612" w:type="dxa"/>
            <w:tcBorders>
              <w:top w:val="nil"/>
              <w:left w:val="nil"/>
              <w:bottom w:val="nil"/>
              <w:right w:val="nil"/>
            </w:tcBorders>
            <w:vAlign w:val="bottom"/>
          </w:tcPr>
          <w:p w14:paraId="22932EDB" w14:textId="77777777" w:rsidR="00C07CE6" w:rsidRPr="001B1F5F" w:rsidRDefault="00C07CE6" w:rsidP="00C07CE6">
            <w:pPr>
              <w:pStyle w:val="NoSpacing"/>
              <w:jc w:val="both"/>
              <w:rPr>
                <w:rFonts w:asciiTheme="minorHAnsi" w:hAnsiTheme="minorHAnsi" w:cstheme="minorHAnsi"/>
                <w:sz w:val="24"/>
                <w:szCs w:val="24"/>
                <w:lang w:val="id-ID"/>
              </w:rPr>
            </w:pPr>
          </w:p>
        </w:tc>
        <w:tc>
          <w:tcPr>
            <w:tcW w:w="1321" w:type="dxa"/>
            <w:tcBorders>
              <w:top w:val="nil"/>
              <w:left w:val="nil"/>
              <w:bottom w:val="nil"/>
              <w:right w:val="nil"/>
            </w:tcBorders>
            <w:vAlign w:val="bottom"/>
          </w:tcPr>
          <w:p w14:paraId="03793F02" w14:textId="77777777" w:rsidR="00C07CE6" w:rsidRPr="001B1F5F" w:rsidRDefault="00C07CE6" w:rsidP="00C07CE6">
            <w:pPr>
              <w:pStyle w:val="NoSpacing"/>
              <w:jc w:val="both"/>
              <w:rPr>
                <w:rFonts w:asciiTheme="minorHAnsi" w:hAnsiTheme="minorHAnsi" w:cstheme="minorHAnsi"/>
                <w:sz w:val="24"/>
                <w:szCs w:val="24"/>
                <w:lang w:val="id-ID"/>
              </w:rPr>
            </w:pPr>
          </w:p>
        </w:tc>
      </w:tr>
    </w:tbl>
    <w:p w14:paraId="24C4ED17" w14:textId="77777777" w:rsidR="0039514E" w:rsidRPr="001B1F5F" w:rsidRDefault="0039514E" w:rsidP="0039514E">
      <w:pPr>
        <w:pStyle w:val="NoSpacing"/>
        <w:rPr>
          <w:rFonts w:asciiTheme="minorHAnsi" w:hAnsiTheme="minorHAnsi" w:cstheme="minorHAnsi"/>
          <w:b/>
          <w:bCs/>
          <w:sz w:val="24"/>
          <w:szCs w:val="24"/>
          <w:lang w:val="en-ID"/>
        </w:rPr>
      </w:pPr>
      <w:r w:rsidRPr="001B1F5F">
        <w:rPr>
          <w:rFonts w:asciiTheme="minorHAnsi" w:hAnsiTheme="minorHAnsi" w:cstheme="minorHAnsi"/>
          <w:b/>
          <w:bCs/>
          <w:sz w:val="24"/>
          <w:szCs w:val="24"/>
          <w:lang w:val="en-ID"/>
        </w:rPr>
        <w:t>Coefficient of Determination (R-squared Test)</w:t>
      </w:r>
    </w:p>
    <w:p w14:paraId="31C84BF2" w14:textId="77777777" w:rsidR="0039514E" w:rsidRPr="001B1F5F" w:rsidRDefault="0039514E" w:rsidP="00951652">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According to the regression results in Table 3, the adjusted R-squared coefficient is around 0.291673. This suggests that approximately 29% of the variation in the dependent variable (TAXOCF) can be explained by the variation in the independent variables. Meanwhile, about 71% of the remaining variation can be attributed to the residual variable (</w:t>
      </w:r>
      <w:proofErr w:type="spellStart"/>
      <w:r w:rsidRPr="001B1F5F">
        <w:rPr>
          <w:rFonts w:asciiTheme="minorHAnsi" w:hAnsiTheme="minorHAnsi" w:cstheme="minorHAnsi"/>
          <w:i/>
          <w:iCs/>
          <w:sz w:val="24"/>
          <w:szCs w:val="24"/>
          <w:lang w:val="en-ID"/>
        </w:rPr>
        <w:t>e</w:t>
      </w:r>
      <w:r w:rsidRPr="001B1F5F">
        <w:rPr>
          <w:rFonts w:asciiTheme="minorHAnsi" w:hAnsiTheme="minorHAnsi" w:cstheme="minorHAnsi"/>
          <w:i/>
          <w:iCs/>
          <w:sz w:val="24"/>
          <w:szCs w:val="24"/>
          <w:vertAlign w:val="subscript"/>
          <w:lang w:val="en-ID"/>
        </w:rPr>
        <w:t>it</w:t>
      </w:r>
      <w:proofErr w:type="spellEnd"/>
      <w:r w:rsidRPr="001B1F5F">
        <w:rPr>
          <w:rFonts w:asciiTheme="minorHAnsi" w:hAnsiTheme="minorHAnsi" w:cstheme="minorHAnsi"/>
          <w:sz w:val="24"/>
          <w:szCs w:val="24"/>
          <w:lang w:val="en-ID"/>
        </w:rPr>
        <w:t>).</w:t>
      </w:r>
    </w:p>
    <w:p w14:paraId="310BBDD6" w14:textId="77777777" w:rsidR="0039514E" w:rsidRPr="001B1F5F" w:rsidRDefault="0039514E" w:rsidP="00C07CE6">
      <w:pPr>
        <w:pStyle w:val="NoSpacing"/>
        <w:jc w:val="both"/>
        <w:rPr>
          <w:rFonts w:asciiTheme="minorHAnsi" w:hAnsiTheme="minorHAnsi" w:cstheme="minorHAnsi"/>
          <w:sz w:val="24"/>
          <w:szCs w:val="24"/>
        </w:rPr>
      </w:pPr>
    </w:p>
    <w:p w14:paraId="6C6ACCD7" w14:textId="77777777" w:rsidR="0039514E" w:rsidRPr="001B1F5F" w:rsidRDefault="0039514E" w:rsidP="0039514E">
      <w:pPr>
        <w:pStyle w:val="NoSpacing"/>
        <w:rPr>
          <w:rFonts w:asciiTheme="minorHAnsi" w:hAnsiTheme="minorHAnsi" w:cstheme="minorHAnsi"/>
          <w:b/>
          <w:bCs/>
          <w:sz w:val="24"/>
          <w:szCs w:val="24"/>
          <w:lang w:val="en-ID"/>
        </w:rPr>
      </w:pPr>
      <w:r w:rsidRPr="001B1F5F">
        <w:rPr>
          <w:rFonts w:asciiTheme="minorHAnsi" w:hAnsiTheme="minorHAnsi" w:cstheme="minorHAnsi"/>
          <w:b/>
          <w:bCs/>
          <w:sz w:val="24"/>
          <w:szCs w:val="24"/>
          <w:lang w:val="en-ID"/>
        </w:rPr>
        <w:t>Simultaneous Significance Test (F-Test)</w:t>
      </w:r>
    </w:p>
    <w:p w14:paraId="58414B8A" w14:textId="77777777" w:rsidR="0039514E" w:rsidRPr="001B1F5F" w:rsidRDefault="0039514E" w:rsidP="00951652">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This test assesses if all independent variables collectively contribute significantly to the dependent variable. The data in Table 3 reveals that the F-statistic's probability is 0.0000. As this figure is below the 5% significance level, it's concluded that at a 95% confidence level (α=5%), the null hypothesis (H0) can be rejected. This indicates that the FEM regression model is sufficiently significant in explaining the variation in the dependent variable.</w:t>
      </w:r>
    </w:p>
    <w:p w14:paraId="1FD8287B" w14:textId="77777777" w:rsidR="0039514E" w:rsidRPr="001B1F5F" w:rsidRDefault="0039514E" w:rsidP="0039514E">
      <w:pPr>
        <w:pStyle w:val="NoSpacing"/>
        <w:rPr>
          <w:rFonts w:asciiTheme="minorHAnsi" w:hAnsiTheme="minorHAnsi" w:cstheme="minorHAnsi"/>
          <w:b/>
          <w:bCs/>
          <w:sz w:val="24"/>
          <w:szCs w:val="24"/>
          <w:lang w:val="en-ID"/>
        </w:rPr>
      </w:pPr>
    </w:p>
    <w:p w14:paraId="5BFBDB80" w14:textId="24B0707D" w:rsidR="0039514E" w:rsidRPr="001B1F5F" w:rsidRDefault="0039514E" w:rsidP="0039514E">
      <w:pPr>
        <w:pStyle w:val="NoSpacing"/>
        <w:rPr>
          <w:rFonts w:asciiTheme="minorHAnsi" w:hAnsiTheme="minorHAnsi" w:cstheme="minorHAnsi"/>
          <w:b/>
          <w:bCs/>
          <w:sz w:val="24"/>
          <w:szCs w:val="24"/>
          <w:lang w:val="en-ID"/>
        </w:rPr>
      </w:pPr>
      <w:r w:rsidRPr="001B1F5F">
        <w:rPr>
          <w:rFonts w:asciiTheme="minorHAnsi" w:hAnsiTheme="minorHAnsi" w:cstheme="minorHAnsi"/>
          <w:b/>
          <w:bCs/>
          <w:sz w:val="24"/>
          <w:szCs w:val="24"/>
          <w:lang w:val="en-ID"/>
        </w:rPr>
        <w:t>Partial Significance Test (t-Test)</w:t>
      </w:r>
    </w:p>
    <w:p w14:paraId="04E09C1B" w14:textId="352A192A" w:rsidR="0039514E" w:rsidRPr="001B1F5F" w:rsidRDefault="0039514E" w:rsidP="00951652">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The t-test is used to assess the partial (individual) impact of independent variables on the dependent variable. Variable TAXFORCE has a probability value of 0.0989, suggesting it has no </w:t>
      </w:r>
      <w:r w:rsidRPr="001B1F5F">
        <w:rPr>
          <w:rFonts w:asciiTheme="minorHAnsi" w:hAnsiTheme="minorHAnsi" w:cstheme="minorHAnsi"/>
          <w:sz w:val="24"/>
          <w:szCs w:val="24"/>
          <w:lang w:val="en-ID"/>
        </w:rPr>
        <w:lastRenderedPageBreak/>
        <w:t xml:space="preserve">significant influence on TAXOCF. Variable RPTRAN exhibits a probability value of 0.0867, indicating no significant impact at a 5% confidence level. The dummy variable KAP shows a probability value of 0.2176, meaning there's no significant relationship between the external auditor and </w:t>
      </w:r>
      <w:proofErr w:type="spellStart"/>
      <w:r w:rsidR="00C5090B">
        <w:rPr>
          <w:rFonts w:asciiTheme="minorHAnsi" w:hAnsiTheme="minorHAnsi" w:cstheme="minorHAnsi"/>
          <w:sz w:val="24"/>
          <w:szCs w:val="24"/>
          <w:lang w:val="en-ID"/>
        </w:rPr>
        <w:t>conformin</w:t>
      </w:r>
      <w:proofErr w:type="spellEnd"/>
      <w:r w:rsidR="00C5090B">
        <w:rPr>
          <w:rFonts w:asciiTheme="minorHAnsi" w:hAnsiTheme="minorHAnsi" w:cstheme="minorHAnsi"/>
          <w:sz w:val="24"/>
          <w:szCs w:val="24"/>
          <w:lang w:val="en-ID"/>
        </w:rPr>
        <w:t xml:space="preserve"> </w:t>
      </w:r>
      <w:r w:rsidRPr="001B1F5F">
        <w:rPr>
          <w:rFonts w:asciiTheme="minorHAnsi" w:hAnsiTheme="minorHAnsi" w:cstheme="minorHAnsi"/>
          <w:sz w:val="24"/>
          <w:szCs w:val="24"/>
          <w:lang w:val="en-ID"/>
        </w:rPr>
        <w:t xml:space="preserve">tax avoidance. SIZE and LEV present probability values of 0.0037 and 0.0025, respectively, suggesting significant effects on </w:t>
      </w:r>
      <w:r w:rsidR="00C5090B">
        <w:rPr>
          <w:rFonts w:asciiTheme="minorHAnsi" w:hAnsiTheme="minorHAnsi" w:cstheme="minorHAnsi"/>
          <w:sz w:val="24"/>
          <w:szCs w:val="24"/>
          <w:lang w:val="en-ID"/>
        </w:rPr>
        <w:t xml:space="preserve">conforming </w:t>
      </w:r>
      <w:r w:rsidRPr="001B1F5F">
        <w:rPr>
          <w:rFonts w:asciiTheme="minorHAnsi" w:hAnsiTheme="minorHAnsi" w:cstheme="minorHAnsi"/>
          <w:sz w:val="24"/>
          <w:szCs w:val="24"/>
          <w:lang w:val="en-ID"/>
        </w:rPr>
        <w:t xml:space="preserve">tax avoidance. However, ROA and CAPINT display probability values of 0.5835 and 0.0840, signifying no significant influence on </w:t>
      </w:r>
      <w:r w:rsidR="00C5090B">
        <w:rPr>
          <w:rFonts w:asciiTheme="minorHAnsi" w:hAnsiTheme="minorHAnsi" w:cstheme="minorHAnsi"/>
          <w:sz w:val="24"/>
          <w:szCs w:val="24"/>
          <w:lang w:val="en-ID"/>
        </w:rPr>
        <w:t xml:space="preserve">conforming </w:t>
      </w:r>
      <w:r w:rsidRPr="001B1F5F">
        <w:rPr>
          <w:rFonts w:asciiTheme="minorHAnsi" w:hAnsiTheme="minorHAnsi" w:cstheme="minorHAnsi"/>
          <w:sz w:val="24"/>
          <w:szCs w:val="24"/>
          <w:lang w:val="en-ID"/>
        </w:rPr>
        <w:t>tax avoidance.</w:t>
      </w:r>
    </w:p>
    <w:p w14:paraId="3CFD377F" w14:textId="77777777" w:rsidR="0039514E" w:rsidRPr="001B1F5F" w:rsidRDefault="0039514E" w:rsidP="0039514E">
      <w:pPr>
        <w:pStyle w:val="NoSpacing"/>
        <w:rPr>
          <w:rFonts w:asciiTheme="minorHAnsi" w:hAnsiTheme="minorHAnsi" w:cstheme="minorHAnsi"/>
          <w:sz w:val="24"/>
          <w:szCs w:val="24"/>
          <w:lang w:val="en-ID"/>
        </w:rPr>
      </w:pPr>
    </w:p>
    <w:p w14:paraId="40AF945F" w14:textId="6C95FF28" w:rsidR="0039514E" w:rsidRPr="001B1F5F" w:rsidRDefault="0039514E" w:rsidP="0039514E">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The Impact of Tax Enforcement on </w:t>
      </w:r>
      <w:r w:rsidR="00C5090B">
        <w:rPr>
          <w:rFonts w:asciiTheme="minorHAnsi" w:hAnsiTheme="minorHAnsi" w:cstheme="minorHAnsi"/>
          <w:sz w:val="24"/>
          <w:szCs w:val="24"/>
          <w:lang w:val="en-ID"/>
        </w:rPr>
        <w:t xml:space="preserve">Conforming </w:t>
      </w:r>
      <w:r w:rsidRPr="001B1F5F">
        <w:rPr>
          <w:rFonts w:asciiTheme="minorHAnsi" w:hAnsiTheme="minorHAnsi" w:cstheme="minorHAnsi"/>
          <w:sz w:val="24"/>
          <w:szCs w:val="24"/>
          <w:lang w:val="en-ID"/>
        </w:rPr>
        <w:t>Tax Avoidance</w:t>
      </w:r>
    </w:p>
    <w:p w14:paraId="5A619BCD" w14:textId="14352F82" w:rsidR="0039514E" w:rsidRPr="001B1F5F" w:rsidRDefault="0039514E" w:rsidP="00951652">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The probability of the TAXFORCE variable, which serves as a proxy for tax enforcement, stands at the level of 0.0989 with a negative coefficient of 0.004108. This indicates that at a 95% confidence level, the TAXFORCE variable does not have a significant influence on the TAXOCF variable. Thus, Hypothesis 1 in this study is rejected. The author attributes this to the use of a conforming measurement of tax enforcement in this research, evaluated by the ratio of taxes paid to operating cash flow. Two factors could distort this ratio as a measure of </w:t>
      </w:r>
      <w:r w:rsidR="00C5090B">
        <w:rPr>
          <w:rFonts w:asciiTheme="minorHAnsi" w:hAnsiTheme="minorHAnsi" w:cstheme="minorHAnsi"/>
          <w:sz w:val="24"/>
          <w:szCs w:val="24"/>
          <w:lang w:val="en-ID"/>
        </w:rPr>
        <w:t xml:space="preserve">conforming </w:t>
      </w:r>
      <w:r w:rsidRPr="001B1F5F">
        <w:rPr>
          <w:rFonts w:asciiTheme="minorHAnsi" w:hAnsiTheme="minorHAnsi" w:cstheme="minorHAnsi"/>
          <w:sz w:val="24"/>
          <w:szCs w:val="24"/>
          <w:lang w:val="en-ID"/>
        </w:rPr>
        <w:t>tax avoidance. First, the research period covers 2012-2021, a time during which the government initiated a tax amnesty program. Taxpayers participating in the tax amnesty program could pay taxes at lower rates and receive facilities to halt tax inspections. Second, the tax amnesty abolished administrative penalties arising from tax assessments and tax bills.</w:t>
      </w:r>
    </w:p>
    <w:p w14:paraId="6DA2DBEA" w14:textId="77777777" w:rsidR="0039514E" w:rsidRPr="001B1F5F" w:rsidRDefault="0039514E" w:rsidP="0039514E">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This study's results align with the conclusions of Damayanti &amp; </w:t>
      </w:r>
      <w:proofErr w:type="spellStart"/>
      <w:r w:rsidRPr="001B1F5F">
        <w:rPr>
          <w:rFonts w:asciiTheme="minorHAnsi" w:hAnsiTheme="minorHAnsi" w:cstheme="minorHAnsi"/>
          <w:sz w:val="24"/>
          <w:szCs w:val="24"/>
          <w:lang w:val="en-ID"/>
        </w:rPr>
        <w:t>Prastiwi</w:t>
      </w:r>
      <w:proofErr w:type="spellEnd"/>
      <w:r w:rsidRPr="001B1F5F">
        <w:rPr>
          <w:rFonts w:asciiTheme="minorHAnsi" w:hAnsiTheme="minorHAnsi" w:cstheme="minorHAnsi"/>
          <w:sz w:val="24"/>
          <w:szCs w:val="24"/>
          <w:lang w:val="en-ID"/>
        </w:rPr>
        <w:t xml:space="preserve"> (2017), stating that there is no significant relationship between tax audits and the level of tax avoidance. Their research indicates that changes in the intensity of tax audits do not affect how much companies use aggressive strategies in managing their taxes. This finding indicates that companies are effective in executing their tax management strategies and are less concerned about potential tax authority inspections.</w:t>
      </w:r>
    </w:p>
    <w:p w14:paraId="52D7EDD1" w14:textId="77777777" w:rsidR="0039514E" w:rsidRPr="001B1F5F" w:rsidRDefault="0039514E" w:rsidP="0039514E">
      <w:pPr>
        <w:pStyle w:val="NoSpacing"/>
        <w:rPr>
          <w:rFonts w:asciiTheme="minorHAnsi" w:hAnsiTheme="minorHAnsi" w:cstheme="minorHAnsi"/>
          <w:b/>
          <w:bCs/>
          <w:sz w:val="24"/>
          <w:szCs w:val="24"/>
          <w:lang w:val="en-ID"/>
        </w:rPr>
      </w:pPr>
    </w:p>
    <w:p w14:paraId="1BDB950C" w14:textId="7FA5CE33" w:rsidR="0039514E" w:rsidRPr="001B1F5F" w:rsidRDefault="0039514E" w:rsidP="0039514E">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The Impact of </w:t>
      </w:r>
      <w:r w:rsidR="001D1F14" w:rsidRPr="001B1F5F">
        <w:rPr>
          <w:rFonts w:asciiTheme="minorHAnsi" w:hAnsiTheme="minorHAnsi" w:cstheme="minorHAnsi"/>
          <w:sz w:val="24"/>
          <w:szCs w:val="24"/>
          <w:lang w:val="en-ID"/>
        </w:rPr>
        <w:t>Related-party</w:t>
      </w:r>
      <w:r w:rsidRPr="001B1F5F">
        <w:rPr>
          <w:rFonts w:asciiTheme="minorHAnsi" w:hAnsiTheme="minorHAnsi" w:cstheme="minorHAnsi"/>
          <w:sz w:val="24"/>
          <w:szCs w:val="24"/>
          <w:lang w:val="en-ID"/>
        </w:rPr>
        <w:t xml:space="preserve"> Transactions on </w:t>
      </w:r>
      <w:r w:rsidR="00C5090B">
        <w:rPr>
          <w:rFonts w:asciiTheme="minorHAnsi" w:hAnsiTheme="minorHAnsi" w:cstheme="minorHAnsi"/>
          <w:sz w:val="24"/>
          <w:szCs w:val="24"/>
          <w:lang w:val="en-ID"/>
        </w:rPr>
        <w:t xml:space="preserve">Conforming </w:t>
      </w:r>
      <w:r w:rsidRPr="001B1F5F">
        <w:rPr>
          <w:rFonts w:asciiTheme="minorHAnsi" w:hAnsiTheme="minorHAnsi" w:cstheme="minorHAnsi"/>
          <w:sz w:val="24"/>
          <w:szCs w:val="24"/>
          <w:lang w:val="en-ID"/>
        </w:rPr>
        <w:t>Tax Avoidance</w:t>
      </w:r>
    </w:p>
    <w:p w14:paraId="51F1BC8F" w14:textId="687C513A" w:rsidR="0039514E" w:rsidRPr="001B1F5F" w:rsidRDefault="0039514E" w:rsidP="00E800C6">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The RPTRAN variable has a probability level of 0.0867 with a positive coefficient. At a 95% confidence level, this variable does not have a significant impact on the TAXOCF variable, thus leading to the rejection of Hypothesis 2 in this study. Despite being insignificant, the positive influence of the RPTRAN variable on the TAXOCF variable indicates that intuitively, the greater the portion of </w:t>
      </w:r>
      <w:r w:rsidR="001D1F14" w:rsidRPr="001B1F5F">
        <w:rPr>
          <w:rFonts w:asciiTheme="minorHAnsi" w:hAnsiTheme="minorHAnsi" w:cstheme="minorHAnsi"/>
          <w:sz w:val="24"/>
          <w:szCs w:val="24"/>
          <w:lang w:val="en-ID"/>
        </w:rPr>
        <w:t>related-party</w:t>
      </w:r>
      <w:r w:rsidRPr="001B1F5F">
        <w:rPr>
          <w:rFonts w:asciiTheme="minorHAnsi" w:hAnsiTheme="minorHAnsi" w:cstheme="minorHAnsi"/>
          <w:sz w:val="24"/>
          <w:szCs w:val="24"/>
          <w:lang w:val="en-ID"/>
        </w:rPr>
        <w:t xml:space="preserve"> transactions, the lower the level of</w:t>
      </w:r>
      <w:r w:rsidR="00C5090B">
        <w:rPr>
          <w:rFonts w:asciiTheme="minorHAnsi" w:hAnsiTheme="minorHAnsi" w:cstheme="minorHAnsi"/>
          <w:sz w:val="24"/>
          <w:szCs w:val="24"/>
          <w:lang w:val="en-ID"/>
        </w:rPr>
        <w:t xml:space="preserve"> conforming</w:t>
      </w:r>
      <w:r w:rsidRPr="001B1F5F">
        <w:rPr>
          <w:rFonts w:asciiTheme="minorHAnsi" w:hAnsiTheme="minorHAnsi" w:cstheme="minorHAnsi"/>
          <w:sz w:val="24"/>
          <w:szCs w:val="24"/>
          <w:lang w:val="en-ID"/>
        </w:rPr>
        <w:t xml:space="preserve"> tax avoidance. This is in line with the findings of </w:t>
      </w:r>
      <w:proofErr w:type="spellStart"/>
      <w:r w:rsidRPr="001B1F5F">
        <w:rPr>
          <w:rFonts w:asciiTheme="minorHAnsi" w:hAnsiTheme="minorHAnsi" w:cstheme="minorHAnsi"/>
          <w:sz w:val="24"/>
          <w:szCs w:val="24"/>
          <w:lang w:val="en-ID"/>
        </w:rPr>
        <w:t>Aryotama</w:t>
      </w:r>
      <w:proofErr w:type="spellEnd"/>
      <w:r w:rsidRPr="001B1F5F">
        <w:rPr>
          <w:rFonts w:asciiTheme="minorHAnsi" w:hAnsiTheme="minorHAnsi" w:cstheme="minorHAnsi"/>
          <w:sz w:val="24"/>
          <w:szCs w:val="24"/>
          <w:lang w:val="en-ID"/>
        </w:rPr>
        <w:t xml:space="preserve"> &amp; </w:t>
      </w:r>
      <w:proofErr w:type="spellStart"/>
      <w:r w:rsidRPr="001B1F5F">
        <w:rPr>
          <w:rFonts w:asciiTheme="minorHAnsi" w:hAnsiTheme="minorHAnsi" w:cstheme="minorHAnsi"/>
          <w:sz w:val="24"/>
          <w:szCs w:val="24"/>
          <w:lang w:val="en-ID"/>
        </w:rPr>
        <w:t>Firmansyah</w:t>
      </w:r>
      <w:proofErr w:type="spellEnd"/>
      <w:r w:rsidRPr="001B1F5F">
        <w:rPr>
          <w:rFonts w:asciiTheme="minorHAnsi" w:hAnsiTheme="minorHAnsi" w:cstheme="minorHAnsi"/>
          <w:sz w:val="24"/>
          <w:szCs w:val="24"/>
          <w:lang w:val="en-ID"/>
        </w:rPr>
        <w:t xml:space="preserve"> (2019), who argue that inter-company sales transactions among related parties in Indonesia are dominated by transactions within one jurisdiction (in Indonesia), not across borders, and thus don't negatively affect the effective tax rate of companies.</w:t>
      </w:r>
    </w:p>
    <w:p w14:paraId="5386C8F1" w14:textId="77777777" w:rsidR="0039514E" w:rsidRPr="001B1F5F" w:rsidRDefault="0039514E" w:rsidP="0039514E">
      <w:pPr>
        <w:pStyle w:val="NoSpacing"/>
        <w:rPr>
          <w:rFonts w:asciiTheme="minorHAnsi" w:hAnsiTheme="minorHAnsi" w:cstheme="minorHAnsi"/>
          <w:b/>
          <w:bCs/>
          <w:sz w:val="24"/>
          <w:szCs w:val="24"/>
          <w:lang w:val="en-ID"/>
        </w:rPr>
      </w:pPr>
    </w:p>
    <w:p w14:paraId="41DB9390" w14:textId="50593627" w:rsidR="0039514E" w:rsidRPr="001B1F5F" w:rsidRDefault="0039514E" w:rsidP="0039514E">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The </w:t>
      </w:r>
      <w:r w:rsidR="008A6461" w:rsidRPr="001B1F5F">
        <w:rPr>
          <w:rFonts w:asciiTheme="minorHAnsi" w:hAnsiTheme="minorHAnsi" w:cstheme="minorHAnsi"/>
          <w:sz w:val="24"/>
          <w:szCs w:val="24"/>
          <w:lang w:val="en-ID"/>
        </w:rPr>
        <w:t xml:space="preserve">Impact </w:t>
      </w:r>
      <w:r w:rsidRPr="001B1F5F">
        <w:rPr>
          <w:rFonts w:asciiTheme="minorHAnsi" w:hAnsiTheme="minorHAnsi" w:cstheme="minorHAnsi"/>
          <w:sz w:val="24"/>
          <w:szCs w:val="24"/>
          <w:lang w:val="en-ID"/>
        </w:rPr>
        <w:t xml:space="preserve">of External Audit on </w:t>
      </w:r>
      <w:r w:rsidR="00C5090B">
        <w:rPr>
          <w:rFonts w:asciiTheme="minorHAnsi" w:hAnsiTheme="minorHAnsi" w:cstheme="minorHAnsi"/>
          <w:sz w:val="24"/>
          <w:szCs w:val="24"/>
          <w:lang w:val="en-ID"/>
        </w:rPr>
        <w:t xml:space="preserve">Conforming </w:t>
      </w:r>
      <w:r w:rsidRPr="001B1F5F">
        <w:rPr>
          <w:rFonts w:asciiTheme="minorHAnsi" w:hAnsiTheme="minorHAnsi" w:cstheme="minorHAnsi"/>
          <w:sz w:val="24"/>
          <w:szCs w:val="24"/>
          <w:lang w:val="en-ID"/>
        </w:rPr>
        <w:t>Tax Avoidance</w:t>
      </w:r>
    </w:p>
    <w:p w14:paraId="1FB8DE72" w14:textId="5A18EFA4" w:rsidR="0039514E" w:rsidRPr="001B1F5F" w:rsidRDefault="0039514E" w:rsidP="0039514E">
      <w:pPr>
        <w:pStyle w:val="NoSpacing"/>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The KAP variable has a probability value of 0.2176 with a positive coefficient. This implies that at a 95% confidence level, the KAP variable does not significantly influence the TAXOCF variable. External audits by Big Four or non-Big Four audit firms do not affect a company's level of </w:t>
      </w:r>
      <w:r w:rsidR="00C5090B">
        <w:rPr>
          <w:rFonts w:asciiTheme="minorHAnsi" w:hAnsiTheme="minorHAnsi" w:cstheme="minorHAnsi"/>
          <w:sz w:val="24"/>
          <w:szCs w:val="24"/>
          <w:lang w:val="en-ID"/>
        </w:rPr>
        <w:t xml:space="preserve">conforming </w:t>
      </w:r>
      <w:r w:rsidRPr="001B1F5F">
        <w:rPr>
          <w:rFonts w:asciiTheme="minorHAnsi" w:hAnsiTheme="minorHAnsi" w:cstheme="minorHAnsi"/>
          <w:sz w:val="24"/>
          <w:szCs w:val="24"/>
          <w:lang w:val="en-ID"/>
        </w:rPr>
        <w:t>tax avoidance. This could be due to the auditor switching rule in Government Regulation No. 20/2015, allowing a public accountant to provide audit services for historical financial information to an entity for a maximum of 5 consecutive accounting years. This means the preference for external audits isn’t dependent on whether the services provided by internal auditors can influence the level of tax avoidance.</w:t>
      </w:r>
    </w:p>
    <w:p w14:paraId="0DCE5F3B" w14:textId="77777777" w:rsidR="0039514E" w:rsidRPr="001B1F5F" w:rsidRDefault="0039514E" w:rsidP="0039514E">
      <w:pPr>
        <w:pStyle w:val="NoSpacing"/>
        <w:rPr>
          <w:rFonts w:asciiTheme="minorHAnsi" w:hAnsiTheme="minorHAnsi" w:cstheme="minorHAnsi"/>
          <w:b/>
          <w:bCs/>
          <w:sz w:val="24"/>
          <w:szCs w:val="24"/>
          <w:lang w:val="en-ID"/>
        </w:rPr>
      </w:pPr>
    </w:p>
    <w:p w14:paraId="123A7ACE" w14:textId="3824DCC0" w:rsidR="0039514E" w:rsidRPr="001B1F5F" w:rsidRDefault="0039514E" w:rsidP="0039514E">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Control Variable Impact on Tax Avoidance</w:t>
      </w:r>
    </w:p>
    <w:p w14:paraId="378B0240" w14:textId="3B134D92" w:rsidR="0039514E" w:rsidRPr="001B1F5F" w:rsidRDefault="0039514E" w:rsidP="0039514E">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Company Size </w:t>
      </w:r>
    </w:p>
    <w:p w14:paraId="6885FDEF" w14:textId="102F38EB" w:rsidR="0039514E" w:rsidRPr="001B1F5F" w:rsidRDefault="0039514E" w:rsidP="00E800C6">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lastRenderedPageBreak/>
        <w:t xml:space="preserve">The SIZE variable has a negative coefficient with a probability level of 0.0037. This indicates that the SIZE variable significantly influences the TAXOCF variable. The negative relationship suggests that the larger the company, the lower the ratio of tax payments to cash flow from operating activities, hence indicating higher </w:t>
      </w:r>
      <w:r w:rsidR="00C5090B">
        <w:rPr>
          <w:rFonts w:asciiTheme="minorHAnsi" w:hAnsiTheme="minorHAnsi" w:cstheme="minorHAnsi"/>
          <w:sz w:val="24"/>
          <w:szCs w:val="24"/>
          <w:lang w:val="en-ID"/>
        </w:rPr>
        <w:t xml:space="preserve">conforming </w:t>
      </w:r>
      <w:r w:rsidRPr="001B1F5F">
        <w:rPr>
          <w:rFonts w:asciiTheme="minorHAnsi" w:hAnsiTheme="minorHAnsi" w:cstheme="minorHAnsi"/>
          <w:sz w:val="24"/>
          <w:szCs w:val="24"/>
          <w:lang w:val="en-ID"/>
        </w:rPr>
        <w:t>tax avoidance. This study supports previous research indicating that larger companies have the resources to engage in tax avoidance practices, although in some cases, they might face more significant political pressures.</w:t>
      </w:r>
    </w:p>
    <w:p w14:paraId="392958EB" w14:textId="77777777" w:rsidR="0039514E" w:rsidRPr="001B1F5F" w:rsidRDefault="0039514E" w:rsidP="0039514E">
      <w:pPr>
        <w:pStyle w:val="NoSpacing"/>
        <w:rPr>
          <w:rFonts w:asciiTheme="minorHAnsi" w:hAnsiTheme="minorHAnsi" w:cstheme="minorHAnsi"/>
          <w:b/>
          <w:bCs/>
          <w:sz w:val="24"/>
          <w:szCs w:val="24"/>
          <w:lang w:val="en-ID"/>
        </w:rPr>
      </w:pPr>
    </w:p>
    <w:p w14:paraId="2E81E2A7" w14:textId="77777777" w:rsidR="0039514E" w:rsidRPr="001B1F5F" w:rsidRDefault="0039514E" w:rsidP="0039514E">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Leverage Influence</w:t>
      </w:r>
    </w:p>
    <w:p w14:paraId="776BB680" w14:textId="02450FF5" w:rsidR="0039514E" w:rsidRPr="001B1F5F" w:rsidRDefault="0039514E" w:rsidP="00E800C6">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The LEV variable significantly affects the TAXOCF variable, shown by the probability value at the level of 0.0025. The positive coefficient indicates that the higher a company's debt, the greater the ratio of tax payments to operating cash flow. This study aligns with research by Jessica &amp; Toly (2014) and others, indicating that higher leverage has a direct effect on tax aggressiveness.</w:t>
      </w:r>
    </w:p>
    <w:p w14:paraId="510C5695" w14:textId="77777777" w:rsidR="0039514E" w:rsidRPr="001B1F5F" w:rsidRDefault="0039514E" w:rsidP="0039514E">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As explained in Law Number 36 of 2008 concerning Income Tax, borrowing costs are included as deductible expenses from gross income in the calculation of taxable income. Tax incentives in the form of reducing interest costs in the computation of taxable income can be utilized by companies to reduce the corporate tax burden.</w:t>
      </w:r>
    </w:p>
    <w:p w14:paraId="190EE2E9" w14:textId="77777777" w:rsidR="0039514E" w:rsidRPr="001B1F5F" w:rsidRDefault="0039514E" w:rsidP="0039514E">
      <w:pPr>
        <w:pStyle w:val="NoSpacing"/>
        <w:rPr>
          <w:rFonts w:asciiTheme="minorHAnsi" w:hAnsiTheme="minorHAnsi" w:cstheme="minorHAnsi"/>
          <w:sz w:val="24"/>
          <w:szCs w:val="24"/>
          <w:lang w:val="en-ID"/>
        </w:rPr>
      </w:pPr>
    </w:p>
    <w:p w14:paraId="61627C27" w14:textId="6B23BD4A" w:rsidR="0039514E" w:rsidRPr="001B1F5F" w:rsidRDefault="0039514E" w:rsidP="0039514E">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Return on Assets</w:t>
      </w:r>
    </w:p>
    <w:p w14:paraId="1A41BED5" w14:textId="76A37C9C" w:rsidR="0039514E" w:rsidRPr="001B1F5F" w:rsidRDefault="0039514E" w:rsidP="00E800C6">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The ROA variable shows a negative coefficient with a probability level of 0.5835, indicating that this variable does not significantly affect the TAXOCF variable. This means that a company's profitability level does not influence </w:t>
      </w:r>
      <w:r w:rsidR="00C5090B">
        <w:rPr>
          <w:rFonts w:asciiTheme="minorHAnsi" w:hAnsiTheme="minorHAnsi" w:cstheme="minorHAnsi"/>
          <w:sz w:val="24"/>
          <w:szCs w:val="24"/>
          <w:lang w:val="en-ID"/>
        </w:rPr>
        <w:t xml:space="preserve">conforming </w:t>
      </w:r>
      <w:r w:rsidRPr="001B1F5F">
        <w:rPr>
          <w:rFonts w:asciiTheme="minorHAnsi" w:hAnsiTheme="minorHAnsi" w:cstheme="minorHAnsi"/>
          <w:sz w:val="24"/>
          <w:szCs w:val="24"/>
          <w:lang w:val="en-ID"/>
        </w:rPr>
        <w:t xml:space="preserve">tax avoidance actions. This study's findings align with the research conducted by </w:t>
      </w:r>
      <w:proofErr w:type="spellStart"/>
      <w:r w:rsidRPr="001B1F5F">
        <w:rPr>
          <w:rFonts w:asciiTheme="minorHAnsi" w:hAnsiTheme="minorHAnsi" w:cstheme="minorHAnsi"/>
          <w:sz w:val="24"/>
          <w:szCs w:val="24"/>
          <w:lang w:val="en-ID"/>
        </w:rPr>
        <w:t>Fitri</w:t>
      </w:r>
      <w:proofErr w:type="spellEnd"/>
      <w:r w:rsidRPr="001B1F5F">
        <w:rPr>
          <w:rFonts w:asciiTheme="minorHAnsi" w:hAnsiTheme="minorHAnsi" w:cstheme="minorHAnsi"/>
          <w:sz w:val="24"/>
          <w:szCs w:val="24"/>
          <w:lang w:val="en-ID"/>
        </w:rPr>
        <w:t xml:space="preserve"> &amp; </w:t>
      </w:r>
      <w:proofErr w:type="spellStart"/>
      <w:r w:rsidRPr="001B1F5F">
        <w:rPr>
          <w:rFonts w:asciiTheme="minorHAnsi" w:hAnsiTheme="minorHAnsi" w:cstheme="minorHAnsi"/>
          <w:sz w:val="24"/>
          <w:szCs w:val="24"/>
          <w:lang w:val="en-ID"/>
        </w:rPr>
        <w:t>Munandar</w:t>
      </w:r>
      <w:proofErr w:type="spellEnd"/>
      <w:r w:rsidRPr="001B1F5F">
        <w:rPr>
          <w:rFonts w:asciiTheme="minorHAnsi" w:hAnsiTheme="minorHAnsi" w:cstheme="minorHAnsi"/>
          <w:sz w:val="24"/>
          <w:szCs w:val="24"/>
          <w:lang w:val="en-ID"/>
        </w:rPr>
        <w:t xml:space="preserve"> (2018), which indicates that companies, whether highly profitable or less, have an equal chance of engaging in tax avoidance.</w:t>
      </w:r>
    </w:p>
    <w:p w14:paraId="6742C2F9" w14:textId="77777777" w:rsidR="0039514E" w:rsidRPr="001B1F5F" w:rsidRDefault="0039514E" w:rsidP="0039514E">
      <w:pPr>
        <w:pStyle w:val="NoSpacing"/>
        <w:rPr>
          <w:rFonts w:asciiTheme="minorHAnsi" w:hAnsiTheme="minorHAnsi" w:cstheme="minorHAnsi"/>
          <w:sz w:val="24"/>
          <w:szCs w:val="24"/>
          <w:lang w:val="en-ID"/>
        </w:rPr>
      </w:pPr>
    </w:p>
    <w:p w14:paraId="073EC33F" w14:textId="0EC60541" w:rsidR="0039514E" w:rsidRPr="001B1F5F" w:rsidRDefault="0039514E" w:rsidP="0039514E">
      <w:pPr>
        <w:pStyle w:val="NoSpacing"/>
        <w:rPr>
          <w:rFonts w:asciiTheme="minorHAnsi" w:hAnsiTheme="minorHAnsi" w:cstheme="minorHAnsi"/>
          <w:sz w:val="24"/>
          <w:szCs w:val="24"/>
          <w:lang w:val="en-ID"/>
        </w:rPr>
      </w:pPr>
      <w:r w:rsidRPr="001B1F5F">
        <w:rPr>
          <w:rFonts w:asciiTheme="minorHAnsi" w:hAnsiTheme="minorHAnsi" w:cstheme="minorHAnsi"/>
          <w:sz w:val="24"/>
          <w:szCs w:val="24"/>
          <w:lang w:val="en-ID"/>
        </w:rPr>
        <w:t>Capital Intensity</w:t>
      </w:r>
    </w:p>
    <w:p w14:paraId="0DD4F3DF" w14:textId="5775CD98" w:rsidR="0039514E" w:rsidRPr="001B1F5F" w:rsidRDefault="0039514E" w:rsidP="00E800C6">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The CAPINT variable does not significantly affect the TAXOCF variable, as indicated by the probability level of 0.0840. This implies that even when a company has a relatively high composition of fixed assets, it does not affect the level of</w:t>
      </w:r>
      <w:r w:rsidR="00C5090B">
        <w:rPr>
          <w:rFonts w:asciiTheme="minorHAnsi" w:hAnsiTheme="minorHAnsi" w:cstheme="minorHAnsi"/>
          <w:sz w:val="24"/>
          <w:szCs w:val="24"/>
          <w:lang w:val="en-ID"/>
        </w:rPr>
        <w:t xml:space="preserve"> conforming</w:t>
      </w:r>
      <w:r w:rsidRPr="001B1F5F">
        <w:rPr>
          <w:rFonts w:asciiTheme="minorHAnsi" w:hAnsiTheme="minorHAnsi" w:cstheme="minorHAnsi"/>
          <w:sz w:val="24"/>
          <w:szCs w:val="24"/>
          <w:lang w:val="en-ID"/>
        </w:rPr>
        <w:t xml:space="preserve"> tax avoidance. This finding contradicts the results of </w:t>
      </w:r>
      <w:proofErr w:type="spellStart"/>
      <w:r w:rsidRPr="001B1F5F">
        <w:rPr>
          <w:rFonts w:asciiTheme="minorHAnsi" w:hAnsiTheme="minorHAnsi" w:cstheme="minorHAnsi"/>
          <w:sz w:val="24"/>
          <w:szCs w:val="24"/>
          <w:lang w:val="en-ID"/>
        </w:rPr>
        <w:t>Sugeng</w:t>
      </w:r>
      <w:proofErr w:type="spellEnd"/>
      <w:r w:rsidRPr="001B1F5F">
        <w:rPr>
          <w:rFonts w:asciiTheme="minorHAnsi" w:hAnsiTheme="minorHAnsi" w:cstheme="minorHAnsi"/>
          <w:sz w:val="24"/>
          <w:szCs w:val="24"/>
          <w:lang w:val="en-ID"/>
        </w:rPr>
        <w:t xml:space="preserve"> </w:t>
      </w:r>
      <w:r w:rsidRPr="00E800C6">
        <w:rPr>
          <w:rFonts w:asciiTheme="minorHAnsi" w:hAnsiTheme="minorHAnsi" w:cstheme="minorHAnsi"/>
          <w:i/>
          <w:iCs/>
          <w:sz w:val="24"/>
          <w:szCs w:val="24"/>
          <w:lang w:val="en-ID"/>
        </w:rPr>
        <w:t>et al.</w:t>
      </w:r>
      <w:r w:rsidRPr="001B1F5F">
        <w:rPr>
          <w:rFonts w:asciiTheme="minorHAnsi" w:hAnsiTheme="minorHAnsi" w:cstheme="minorHAnsi"/>
          <w:sz w:val="24"/>
          <w:szCs w:val="24"/>
          <w:lang w:val="en-ID"/>
        </w:rPr>
        <w:t xml:space="preserve"> (2020), which demonstrated a positive and significant relationship between asset composition and the level of tax avoidance.</w:t>
      </w:r>
    </w:p>
    <w:p w14:paraId="3D9C7D64" w14:textId="77777777" w:rsidR="0039514E" w:rsidRPr="001B1F5F" w:rsidRDefault="0039514E" w:rsidP="00904AC2">
      <w:pPr>
        <w:pStyle w:val="NoSpacing"/>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The tax shield caused by depreciation costs is a temporary difference based on the provisions of the Income Tax Law. In the long term, commercial and fiscal depreciation costs are the same.</w:t>
      </w:r>
    </w:p>
    <w:p w14:paraId="24E86649" w14:textId="77777777" w:rsidR="00BC1696" w:rsidRPr="001B1F5F" w:rsidRDefault="00BC1696" w:rsidP="00192F97">
      <w:pPr>
        <w:pStyle w:val="NoSpacing"/>
        <w:jc w:val="both"/>
        <w:rPr>
          <w:rFonts w:asciiTheme="minorHAnsi" w:hAnsiTheme="minorHAnsi" w:cstheme="minorHAnsi"/>
          <w:sz w:val="24"/>
          <w:szCs w:val="24"/>
        </w:rPr>
      </w:pPr>
    </w:p>
    <w:p w14:paraId="221082E6" w14:textId="77777777" w:rsidR="008A6461" w:rsidRPr="001B1F5F" w:rsidRDefault="0018729A" w:rsidP="0039514E">
      <w:pPr>
        <w:pStyle w:val="NoSpacing"/>
        <w:spacing w:after="120"/>
        <w:jc w:val="both"/>
        <w:rPr>
          <w:rFonts w:asciiTheme="minorHAnsi" w:hAnsiTheme="minorHAnsi" w:cstheme="minorHAnsi"/>
          <w:b/>
          <w:sz w:val="24"/>
          <w:szCs w:val="24"/>
        </w:rPr>
      </w:pPr>
      <w:r w:rsidRPr="001B1F5F">
        <w:rPr>
          <w:rFonts w:asciiTheme="minorHAnsi" w:hAnsiTheme="minorHAnsi" w:cstheme="minorHAnsi"/>
          <w:b/>
          <w:sz w:val="24"/>
          <w:szCs w:val="24"/>
        </w:rPr>
        <w:t>CONCLUSIONS</w:t>
      </w:r>
    </w:p>
    <w:p w14:paraId="3E1528BC" w14:textId="7321B930" w:rsidR="0039514E" w:rsidRPr="001B1F5F" w:rsidRDefault="0039514E" w:rsidP="00E800C6">
      <w:pPr>
        <w:pStyle w:val="NoSpacing"/>
        <w:spacing w:after="120"/>
        <w:ind w:firstLine="720"/>
        <w:jc w:val="both"/>
        <w:rPr>
          <w:rFonts w:asciiTheme="minorHAnsi" w:hAnsiTheme="minorHAnsi" w:cstheme="minorHAnsi"/>
          <w:b/>
          <w:sz w:val="24"/>
          <w:szCs w:val="24"/>
        </w:rPr>
      </w:pPr>
      <w:r w:rsidRPr="001B1F5F">
        <w:rPr>
          <w:rFonts w:asciiTheme="minorHAnsi" w:hAnsiTheme="minorHAnsi" w:cstheme="minorHAnsi"/>
          <w:sz w:val="24"/>
          <w:szCs w:val="24"/>
          <w:lang w:val="en-ID"/>
        </w:rPr>
        <w:t xml:space="preserve">This study enriches the body of research on tax avoidance. The significant role of taxes in development has made tax avoidance a highly attractive topic for researchers. The diverse patterns of measuring tax avoidance and their relationship with various determining factors prompted the author to investigate the influence of law enforcement variables, </w:t>
      </w:r>
      <w:r w:rsidR="001D1F14" w:rsidRPr="001B1F5F">
        <w:rPr>
          <w:rFonts w:asciiTheme="minorHAnsi" w:hAnsiTheme="minorHAnsi" w:cstheme="minorHAnsi"/>
          <w:sz w:val="24"/>
          <w:szCs w:val="24"/>
          <w:lang w:val="en-ID"/>
        </w:rPr>
        <w:t>related-party</w:t>
      </w:r>
      <w:r w:rsidRPr="001B1F5F">
        <w:rPr>
          <w:rFonts w:asciiTheme="minorHAnsi" w:hAnsiTheme="minorHAnsi" w:cstheme="minorHAnsi"/>
          <w:sz w:val="24"/>
          <w:szCs w:val="24"/>
          <w:lang w:val="en-ID"/>
        </w:rPr>
        <w:t xml:space="preserve"> transactions, and external audit on</w:t>
      </w:r>
      <w:r w:rsidR="002E6816">
        <w:rPr>
          <w:rFonts w:asciiTheme="minorHAnsi" w:hAnsiTheme="minorHAnsi" w:cstheme="minorHAnsi"/>
          <w:sz w:val="24"/>
          <w:szCs w:val="24"/>
          <w:lang w:val="en-ID"/>
        </w:rPr>
        <w:t xml:space="preserve"> </w:t>
      </w:r>
      <w:r w:rsidRPr="001B1F5F">
        <w:rPr>
          <w:rFonts w:asciiTheme="minorHAnsi" w:hAnsiTheme="minorHAnsi" w:cstheme="minorHAnsi"/>
          <w:sz w:val="24"/>
          <w:szCs w:val="24"/>
          <w:lang w:val="en-ID"/>
        </w:rPr>
        <w:t xml:space="preserve">tax avoidance. Additionally, the author is interested in observing the impact of conforming tax avoidance, an area that is </w:t>
      </w:r>
      <w:r w:rsidR="002E6816">
        <w:rPr>
          <w:rFonts w:asciiTheme="minorHAnsi" w:hAnsiTheme="minorHAnsi" w:cstheme="minorHAnsi"/>
          <w:sz w:val="24"/>
          <w:szCs w:val="24"/>
          <w:lang w:val="en-ID"/>
        </w:rPr>
        <w:t xml:space="preserve">rarely explored </w:t>
      </w:r>
      <w:r w:rsidRPr="001B1F5F">
        <w:rPr>
          <w:rFonts w:asciiTheme="minorHAnsi" w:hAnsiTheme="minorHAnsi" w:cstheme="minorHAnsi"/>
          <w:sz w:val="24"/>
          <w:szCs w:val="24"/>
          <w:lang w:val="en-ID"/>
        </w:rPr>
        <w:t>in Indonesia.</w:t>
      </w:r>
    </w:p>
    <w:p w14:paraId="7A09A3AD" w14:textId="3FEC3FB7" w:rsidR="0039514E" w:rsidRPr="001B1F5F" w:rsidRDefault="0039514E" w:rsidP="0039514E">
      <w:pPr>
        <w:pStyle w:val="NoSpacing"/>
        <w:spacing w:after="120"/>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The research results show that tax enforcement, </w:t>
      </w:r>
      <w:r w:rsidR="001D1F14" w:rsidRPr="001B1F5F">
        <w:rPr>
          <w:rFonts w:asciiTheme="minorHAnsi" w:hAnsiTheme="minorHAnsi" w:cstheme="minorHAnsi"/>
          <w:sz w:val="24"/>
          <w:szCs w:val="24"/>
          <w:lang w:val="en-ID"/>
        </w:rPr>
        <w:t>related-party</w:t>
      </w:r>
      <w:r w:rsidRPr="001B1F5F">
        <w:rPr>
          <w:rFonts w:asciiTheme="minorHAnsi" w:hAnsiTheme="minorHAnsi" w:cstheme="minorHAnsi"/>
          <w:sz w:val="24"/>
          <w:szCs w:val="24"/>
          <w:lang w:val="en-ID"/>
        </w:rPr>
        <w:t xml:space="preserve"> transactions, and external audits do not have a significant influence on </w:t>
      </w:r>
      <w:r w:rsidR="002E6816">
        <w:rPr>
          <w:rFonts w:asciiTheme="minorHAnsi" w:hAnsiTheme="minorHAnsi" w:cstheme="minorHAnsi"/>
          <w:sz w:val="24"/>
          <w:szCs w:val="24"/>
          <w:lang w:val="en-ID"/>
        </w:rPr>
        <w:t xml:space="preserve">conforming </w:t>
      </w:r>
      <w:r w:rsidRPr="001B1F5F">
        <w:rPr>
          <w:rFonts w:asciiTheme="minorHAnsi" w:hAnsiTheme="minorHAnsi" w:cstheme="minorHAnsi"/>
          <w:sz w:val="24"/>
          <w:szCs w:val="24"/>
          <w:lang w:val="en-ID"/>
        </w:rPr>
        <w:t xml:space="preserve">tax avoidance. However, control variables such as company size and leverage significantly impact </w:t>
      </w:r>
      <w:r w:rsidR="002E6816">
        <w:rPr>
          <w:rFonts w:asciiTheme="minorHAnsi" w:hAnsiTheme="minorHAnsi" w:cstheme="minorHAnsi"/>
          <w:sz w:val="24"/>
          <w:szCs w:val="24"/>
          <w:lang w:val="en-ID"/>
        </w:rPr>
        <w:t xml:space="preserve">conforming </w:t>
      </w:r>
      <w:r w:rsidRPr="001B1F5F">
        <w:rPr>
          <w:rFonts w:asciiTheme="minorHAnsi" w:hAnsiTheme="minorHAnsi" w:cstheme="minorHAnsi"/>
          <w:sz w:val="24"/>
          <w:szCs w:val="24"/>
          <w:lang w:val="en-ID"/>
        </w:rPr>
        <w:t>tax avoidance.</w:t>
      </w:r>
    </w:p>
    <w:p w14:paraId="340A7F10" w14:textId="655530E3" w:rsidR="0039514E" w:rsidRPr="001B1F5F" w:rsidRDefault="0039514E" w:rsidP="0039514E">
      <w:pPr>
        <w:pStyle w:val="NoSpacing"/>
        <w:spacing w:after="120"/>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This research utilized financial report data from companies listed on the Indonesia Stock Exchange. Most variables, especially those related to tax data, stem from financial reports submitted </w:t>
      </w:r>
      <w:r w:rsidRPr="001B1F5F">
        <w:rPr>
          <w:rFonts w:asciiTheme="minorHAnsi" w:hAnsiTheme="minorHAnsi" w:cstheme="minorHAnsi"/>
          <w:sz w:val="24"/>
          <w:szCs w:val="24"/>
          <w:lang w:val="en-ID"/>
        </w:rPr>
        <w:lastRenderedPageBreak/>
        <w:t>by issuers for stock exchange regulatory purposes. The author did not use Annual Tax Return data due to limited access to tax-related information.</w:t>
      </w:r>
    </w:p>
    <w:p w14:paraId="11B9679A" w14:textId="488E4CA5" w:rsidR="0039514E" w:rsidRPr="001B1F5F" w:rsidRDefault="0039514E" w:rsidP="0039514E">
      <w:pPr>
        <w:pStyle w:val="NoSpacing"/>
        <w:spacing w:after="120"/>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 xml:space="preserve">The TAXOCF and TAXFORCE variables might yield different results when using </w:t>
      </w:r>
      <w:r w:rsidR="007642CF">
        <w:rPr>
          <w:rFonts w:asciiTheme="minorHAnsi" w:hAnsiTheme="minorHAnsi" w:cstheme="minorHAnsi"/>
          <w:sz w:val="24"/>
          <w:szCs w:val="24"/>
          <w:lang w:val="en-ID"/>
        </w:rPr>
        <w:t>tax return</w:t>
      </w:r>
      <w:r w:rsidRPr="001B1F5F">
        <w:rPr>
          <w:rFonts w:asciiTheme="minorHAnsi" w:hAnsiTheme="minorHAnsi" w:cstheme="minorHAnsi"/>
          <w:sz w:val="24"/>
          <w:szCs w:val="24"/>
          <w:lang w:val="en-ID"/>
        </w:rPr>
        <w:t xml:space="preserve"> data, which provides information on examination outcomes based on the tax year. Moreover, the author suspects that tax amnesty could influence the study's results due to the amnesty's provisions for penalty waiver and cessation of tax inspections for participating taxpayers. However, the author couldn't </w:t>
      </w:r>
      <w:proofErr w:type="spellStart"/>
      <w:r w:rsidRPr="001B1F5F">
        <w:rPr>
          <w:rFonts w:asciiTheme="minorHAnsi" w:hAnsiTheme="minorHAnsi" w:cstheme="minorHAnsi"/>
          <w:sz w:val="24"/>
          <w:szCs w:val="24"/>
          <w:lang w:val="en-ID"/>
        </w:rPr>
        <w:t>analyze</w:t>
      </w:r>
      <w:proofErr w:type="spellEnd"/>
      <w:r w:rsidRPr="001B1F5F">
        <w:rPr>
          <w:rFonts w:asciiTheme="minorHAnsi" w:hAnsiTheme="minorHAnsi" w:cstheme="minorHAnsi"/>
          <w:sz w:val="24"/>
          <w:szCs w:val="24"/>
          <w:lang w:val="en-ID"/>
        </w:rPr>
        <w:t xml:space="preserve"> the impact of tax amnesty due to taxpayer data confidentiality.</w:t>
      </w:r>
    </w:p>
    <w:p w14:paraId="10C829CF" w14:textId="77777777" w:rsidR="0039514E" w:rsidRPr="001B1F5F" w:rsidRDefault="0039514E" w:rsidP="0039514E">
      <w:pPr>
        <w:pStyle w:val="NoSpacing"/>
        <w:spacing w:after="120"/>
        <w:ind w:firstLine="720"/>
        <w:jc w:val="both"/>
        <w:rPr>
          <w:rFonts w:asciiTheme="minorHAnsi" w:hAnsiTheme="minorHAnsi" w:cstheme="minorHAnsi"/>
          <w:sz w:val="24"/>
          <w:szCs w:val="24"/>
          <w:lang w:val="en-ID"/>
        </w:rPr>
      </w:pPr>
      <w:r w:rsidRPr="001B1F5F">
        <w:rPr>
          <w:rFonts w:asciiTheme="minorHAnsi" w:hAnsiTheme="minorHAnsi" w:cstheme="minorHAnsi"/>
          <w:sz w:val="24"/>
          <w:szCs w:val="24"/>
          <w:lang w:val="en-ID"/>
        </w:rPr>
        <w:t>Future research could use tax data from Annual Tax Returns, considering the influence of tax amnesty in measuring various variables related to conforming tax avoidance.</w:t>
      </w:r>
    </w:p>
    <w:p w14:paraId="22213678" w14:textId="77777777" w:rsidR="00904AC2" w:rsidRPr="001B1F5F" w:rsidRDefault="00904AC2" w:rsidP="0039514E">
      <w:pPr>
        <w:pStyle w:val="NoSpacing"/>
        <w:spacing w:after="120"/>
        <w:ind w:firstLine="720"/>
        <w:rPr>
          <w:rFonts w:asciiTheme="minorHAnsi" w:hAnsiTheme="minorHAnsi" w:cstheme="minorHAnsi"/>
          <w:sz w:val="24"/>
          <w:szCs w:val="24"/>
          <w:lang w:val="en-ID"/>
        </w:rPr>
      </w:pPr>
    </w:p>
    <w:p w14:paraId="56E99403" w14:textId="77777777" w:rsidR="00BC1696" w:rsidRPr="001B1F5F" w:rsidRDefault="0018729A" w:rsidP="00F73E0F">
      <w:pPr>
        <w:pStyle w:val="NoSpacing"/>
        <w:spacing w:after="120"/>
        <w:jc w:val="both"/>
        <w:rPr>
          <w:rFonts w:asciiTheme="minorHAnsi" w:hAnsiTheme="minorHAnsi" w:cstheme="minorHAnsi"/>
          <w:b/>
          <w:sz w:val="24"/>
          <w:szCs w:val="24"/>
        </w:rPr>
      </w:pPr>
      <w:r w:rsidRPr="001B1F5F">
        <w:rPr>
          <w:rFonts w:asciiTheme="minorHAnsi" w:hAnsiTheme="minorHAnsi" w:cstheme="minorHAnsi"/>
          <w:b/>
          <w:sz w:val="24"/>
          <w:szCs w:val="24"/>
        </w:rPr>
        <w:t>REFERENCES</w:t>
      </w:r>
    </w:p>
    <w:p w14:paraId="73A4D2B3"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Ajija</w:t>
      </w:r>
      <w:proofErr w:type="spellEnd"/>
      <w:r w:rsidRPr="001B1F5F">
        <w:rPr>
          <w:rFonts w:asciiTheme="minorHAnsi" w:hAnsiTheme="minorHAnsi" w:cstheme="minorHAnsi"/>
          <w:sz w:val="24"/>
          <w:szCs w:val="24"/>
        </w:rPr>
        <w:t xml:space="preserve">, S. R., Sari, D. W., </w:t>
      </w:r>
      <w:proofErr w:type="spellStart"/>
      <w:r w:rsidRPr="001B1F5F">
        <w:rPr>
          <w:rFonts w:asciiTheme="minorHAnsi" w:hAnsiTheme="minorHAnsi" w:cstheme="minorHAnsi"/>
          <w:sz w:val="24"/>
          <w:szCs w:val="24"/>
        </w:rPr>
        <w:t>Setianto</w:t>
      </w:r>
      <w:proofErr w:type="spellEnd"/>
      <w:r w:rsidRPr="001B1F5F">
        <w:rPr>
          <w:rFonts w:asciiTheme="minorHAnsi" w:hAnsiTheme="minorHAnsi" w:cstheme="minorHAnsi"/>
          <w:sz w:val="24"/>
          <w:szCs w:val="24"/>
        </w:rPr>
        <w:t xml:space="preserve">, R. H., &amp; </w:t>
      </w:r>
      <w:proofErr w:type="spellStart"/>
      <w:r w:rsidRPr="001B1F5F">
        <w:rPr>
          <w:rFonts w:asciiTheme="minorHAnsi" w:hAnsiTheme="minorHAnsi" w:cstheme="minorHAnsi"/>
          <w:sz w:val="24"/>
          <w:szCs w:val="24"/>
        </w:rPr>
        <w:t>Primanti</w:t>
      </w:r>
      <w:proofErr w:type="spellEnd"/>
      <w:r w:rsidRPr="001B1F5F">
        <w:rPr>
          <w:rFonts w:asciiTheme="minorHAnsi" w:hAnsiTheme="minorHAnsi" w:cstheme="minorHAnsi"/>
          <w:sz w:val="24"/>
          <w:szCs w:val="24"/>
        </w:rPr>
        <w:t xml:space="preserve">, M. R. (2011). Cara </w:t>
      </w:r>
      <w:proofErr w:type="spellStart"/>
      <w:r w:rsidRPr="001B1F5F">
        <w:rPr>
          <w:rFonts w:asciiTheme="minorHAnsi" w:hAnsiTheme="minorHAnsi" w:cstheme="minorHAnsi"/>
          <w:sz w:val="24"/>
          <w:szCs w:val="24"/>
        </w:rPr>
        <w:t>cerdas</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menguasai</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Eviews</w:t>
      </w:r>
      <w:proofErr w:type="spellEnd"/>
      <w:r w:rsidRPr="001B1F5F">
        <w:rPr>
          <w:rFonts w:asciiTheme="minorHAnsi" w:hAnsiTheme="minorHAnsi" w:cstheme="minorHAnsi"/>
          <w:sz w:val="24"/>
          <w:szCs w:val="24"/>
        </w:rPr>
        <w:t xml:space="preserve">. Jakarta: </w:t>
      </w:r>
      <w:proofErr w:type="spellStart"/>
      <w:r w:rsidRPr="001B1F5F">
        <w:rPr>
          <w:rFonts w:asciiTheme="minorHAnsi" w:hAnsiTheme="minorHAnsi" w:cstheme="minorHAnsi"/>
          <w:sz w:val="24"/>
          <w:szCs w:val="24"/>
        </w:rPr>
        <w:t>Salemba</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Empat</w:t>
      </w:r>
      <w:proofErr w:type="spellEnd"/>
      <w:r w:rsidRPr="001B1F5F">
        <w:rPr>
          <w:rFonts w:asciiTheme="minorHAnsi" w:hAnsiTheme="minorHAnsi" w:cstheme="minorHAnsi"/>
          <w:sz w:val="24"/>
          <w:szCs w:val="24"/>
        </w:rPr>
        <w:t>.</w:t>
      </w:r>
    </w:p>
    <w:p w14:paraId="15341DE8"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Alfiyah</w:t>
      </w:r>
      <w:proofErr w:type="spellEnd"/>
      <w:r w:rsidRPr="001B1F5F">
        <w:rPr>
          <w:rFonts w:asciiTheme="minorHAnsi" w:hAnsiTheme="minorHAnsi" w:cstheme="minorHAnsi"/>
          <w:sz w:val="24"/>
          <w:szCs w:val="24"/>
        </w:rPr>
        <w:t xml:space="preserve">, N., Subroto, B., &amp; </w:t>
      </w:r>
      <w:proofErr w:type="spellStart"/>
      <w:r w:rsidRPr="001B1F5F">
        <w:rPr>
          <w:rFonts w:asciiTheme="minorHAnsi" w:hAnsiTheme="minorHAnsi" w:cstheme="minorHAnsi"/>
          <w:sz w:val="24"/>
          <w:szCs w:val="24"/>
        </w:rPr>
        <w:t>Ghofar</w:t>
      </w:r>
      <w:proofErr w:type="spellEnd"/>
      <w:r w:rsidRPr="001B1F5F">
        <w:rPr>
          <w:rFonts w:asciiTheme="minorHAnsi" w:hAnsiTheme="minorHAnsi" w:cstheme="minorHAnsi"/>
          <w:sz w:val="24"/>
          <w:szCs w:val="24"/>
        </w:rPr>
        <w:t xml:space="preserve">, A. (2022). Is tax avoidance caused by political connections and executive characteristics? </w:t>
      </w:r>
      <w:proofErr w:type="spellStart"/>
      <w:r w:rsidRPr="001B1F5F">
        <w:rPr>
          <w:rFonts w:asciiTheme="minorHAnsi" w:hAnsiTheme="minorHAnsi" w:cstheme="minorHAnsi"/>
          <w:i/>
          <w:iCs/>
          <w:sz w:val="24"/>
          <w:szCs w:val="24"/>
        </w:rPr>
        <w:t>Jurnal</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Akuntansi</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Multiparadigma</w:t>
      </w:r>
      <w:proofErr w:type="spellEnd"/>
      <w:r w:rsidRPr="001B1F5F">
        <w:rPr>
          <w:rFonts w:asciiTheme="minorHAnsi" w:hAnsiTheme="minorHAnsi" w:cstheme="minorHAnsi"/>
          <w:sz w:val="24"/>
          <w:szCs w:val="24"/>
        </w:rPr>
        <w:t xml:space="preserve">, 13(1), Article 1. </w:t>
      </w:r>
    </w:p>
    <w:p w14:paraId="0B6C10F2" w14:textId="7B1110F5"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Alkausar</w:t>
      </w:r>
      <w:proofErr w:type="spellEnd"/>
      <w:r w:rsidRPr="001B1F5F">
        <w:rPr>
          <w:rFonts w:asciiTheme="minorHAnsi" w:hAnsiTheme="minorHAnsi" w:cstheme="minorHAnsi"/>
          <w:sz w:val="24"/>
          <w:szCs w:val="24"/>
        </w:rPr>
        <w:t xml:space="preserve">, B., </w:t>
      </w:r>
      <w:proofErr w:type="spellStart"/>
      <w:r w:rsidRPr="001B1F5F">
        <w:rPr>
          <w:rFonts w:asciiTheme="minorHAnsi" w:hAnsiTheme="minorHAnsi" w:cstheme="minorHAnsi"/>
          <w:sz w:val="24"/>
          <w:szCs w:val="24"/>
        </w:rPr>
        <w:t>Kawakibi</w:t>
      </w:r>
      <w:proofErr w:type="spellEnd"/>
      <w:r w:rsidRPr="001B1F5F">
        <w:rPr>
          <w:rFonts w:asciiTheme="minorHAnsi" w:hAnsiTheme="minorHAnsi" w:cstheme="minorHAnsi"/>
          <w:sz w:val="24"/>
          <w:szCs w:val="24"/>
        </w:rPr>
        <w:t xml:space="preserve">, F. B., &amp; </w:t>
      </w:r>
      <w:proofErr w:type="spellStart"/>
      <w:r w:rsidRPr="001B1F5F">
        <w:rPr>
          <w:rFonts w:asciiTheme="minorHAnsi" w:hAnsiTheme="minorHAnsi" w:cstheme="minorHAnsi"/>
          <w:sz w:val="24"/>
          <w:szCs w:val="24"/>
        </w:rPr>
        <w:t>Lasmana</w:t>
      </w:r>
      <w:proofErr w:type="spellEnd"/>
      <w:r w:rsidRPr="001B1F5F">
        <w:rPr>
          <w:rFonts w:asciiTheme="minorHAnsi" w:hAnsiTheme="minorHAnsi" w:cstheme="minorHAnsi"/>
          <w:sz w:val="24"/>
          <w:szCs w:val="24"/>
        </w:rPr>
        <w:t xml:space="preserve">, M. S. (2021). Corporate governance and tax aggressiveness: agency theory relationship. </w:t>
      </w:r>
      <w:proofErr w:type="spellStart"/>
      <w:r w:rsidRPr="001B1F5F">
        <w:rPr>
          <w:rFonts w:asciiTheme="minorHAnsi" w:hAnsiTheme="minorHAnsi" w:cstheme="minorHAnsi"/>
          <w:i/>
          <w:iCs/>
          <w:sz w:val="24"/>
          <w:szCs w:val="24"/>
        </w:rPr>
        <w:t>Jurnal</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Reviu</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Akuntansi</w:t>
      </w:r>
      <w:proofErr w:type="spellEnd"/>
      <w:r w:rsidRPr="001B1F5F">
        <w:rPr>
          <w:rFonts w:asciiTheme="minorHAnsi" w:hAnsiTheme="minorHAnsi" w:cstheme="minorHAnsi"/>
          <w:i/>
          <w:iCs/>
          <w:sz w:val="24"/>
          <w:szCs w:val="24"/>
        </w:rPr>
        <w:t xml:space="preserve"> </w:t>
      </w:r>
      <w:r w:rsidR="009A6B9A" w:rsidRPr="001B1F5F">
        <w:rPr>
          <w:rFonts w:asciiTheme="minorHAnsi" w:hAnsiTheme="minorHAnsi" w:cstheme="minorHAnsi"/>
          <w:i/>
          <w:iCs/>
          <w:sz w:val="24"/>
          <w:szCs w:val="24"/>
        </w:rPr>
        <w:t>d</w:t>
      </w:r>
      <w:r w:rsidRPr="001B1F5F">
        <w:rPr>
          <w:rFonts w:asciiTheme="minorHAnsi" w:hAnsiTheme="minorHAnsi" w:cstheme="minorHAnsi"/>
          <w:i/>
          <w:iCs/>
          <w:sz w:val="24"/>
          <w:szCs w:val="24"/>
        </w:rPr>
        <w:t xml:space="preserve">an </w:t>
      </w:r>
      <w:proofErr w:type="spellStart"/>
      <w:r w:rsidRPr="001B1F5F">
        <w:rPr>
          <w:rFonts w:asciiTheme="minorHAnsi" w:hAnsiTheme="minorHAnsi" w:cstheme="minorHAnsi"/>
          <w:i/>
          <w:iCs/>
          <w:sz w:val="24"/>
          <w:szCs w:val="24"/>
        </w:rPr>
        <w:t>Keuangan</w:t>
      </w:r>
      <w:proofErr w:type="spellEnd"/>
      <w:r w:rsidRPr="001B1F5F">
        <w:rPr>
          <w:rFonts w:asciiTheme="minorHAnsi" w:hAnsiTheme="minorHAnsi" w:cstheme="minorHAnsi"/>
          <w:sz w:val="24"/>
          <w:szCs w:val="24"/>
        </w:rPr>
        <w:t xml:space="preserve">, 11(1), Article 1. </w:t>
      </w:r>
    </w:p>
    <w:p w14:paraId="4BD2C837"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Armstrong, C. S., Blouin, J. L., </w:t>
      </w:r>
      <w:proofErr w:type="spellStart"/>
      <w:r w:rsidRPr="001B1F5F">
        <w:rPr>
          <w:rFonts w:asciiTheme="minorHAnsi" w:hAnsiTheme="minorHAnsi" w:cstheme="minorHAnsi"/>
          <w:sz w:val="24"/>
          <w:szCs w:val="24"/>
        </w:rPr>
        <w:t>Jagolinzer</w:t>
      </w:r>
      <w:proofErr w:type="spellEnd"/>
      <w:r w:rsidRPr="001B1F5F">
        <w:rPr>
          <w:rFonts w:asciiTheme="minorHAnsi" w:hAnsiTheme="minorHAnsi" w:cstheme="minorHAnsi"/>
          <w:sz w:val="24"/>
          <w:szCs w:val="24"/>
        </w:rPr>
        <w:t xml:space="preserve">, A. D., &amp; </w:t>
      </w:r>
      <w:proofErr w:type="spellStart"/>
      <w:r w:rsidRPr="001B1F5F">
        <w:rPr>
          <w:rFonts w:asciiTheme="minorHAnsi" w:hAnsiTheme="minorHAnsi" w:cstheme="minorHAnsi"/>
          <w:sz w:val="24"/>
          <w:szCs w:val="24"/>
        </w:rPr>
        <w:t>Larcker</w:t>
      </w:r>
      <w:proofErr w:type="spellEnd"/>
      <w:r w:rsidRPr="001B1F5F">
        <w:rPr>
          <w:rFonts w:asciiTheme="minorHAnsi" w:hAnsiTheme="minorHAnsi" w:cstheme="minorHAnsi"/>
          <w:sz w:val="24"/>
          <w:szCs w:val="24"/>
        </w:rPr>
        <w:t xml:space="preserve">, D. F. (2015). Corporate governance, incentives, and tax avoidance. </w:t>
      </w:r>
      <w:r w:rsidRPr="001B1F5F">
        <w:rPr>
          <w:rFonts w:asciiTheme="minorHAnsi" w:hAnsiTheme="minorHAnsi" w:cstheme="minorHAnsi"/>
          <w:i/>
          <w:iCs/>
          <w:sz w:val="24"/>
          <w:szCs w:val="24"/>
        </w:rPr>
        <w:t>Journal of Accounting and Economics</w:t>
      </w:r>
      <w:r w:rsidRPr="001B1F5F">
        <w:rPr>
          <w:rFonts w:asciiTheme="minorHAnsi" w:hAnsiTheme="minorHAnsi" w:cstheme="minorHAnsi"/>
          <w:sz w:val="24"/>
          <w:szCs w:val="24"/>
        </w:rPr>
        <w:t xml:space="preserve">, 60(1), 1–17. </w:t>
      </w:r>
    </w:p>
    <w:p w14:paraId="7057B793" w14:textId="0A5D0F90"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Aryotama</w:t>
      </w:r>
      <w:proofErr w:type="spellEnd"/>
      <w:r w:rsidRPr="001B1F5F">
        <w:rPr>
          <w:rFonts w:asciiTheme="minorHAnsi" w:hAnsiTheme="minorHAnsi" w:cstheme="minorHAnsi"/>
          <w:sz w:val="24"/>
          <w:szCs w:val="24"/>
        </w:rPr>
        <w:t xml:space="preserve">, P. &amp; </w:t>
      </w:r>
      <w:proofErr w:type="spellStart"/>
      <w:r w:rsidRPr="001B1F5F">
        <w:rPr>
          <w:rFonts w:asciiTheme="minorHAnsi" w:hAnsiTheme="minorHAnsi" w:cstheme="minorHAnsi"/>
          <w:sz w:val="24"/>
          <w:szCs w:val="24"/>
        </w:rPr>
        <w:t>Firmansyah</w:t>
      </w:r>
      <w:proofErr w:type="spellEnd"/>
      <w:r w:rsidRPr="001B1F5F">
        <w:rPr>
          <w:rFonts w:asciiTheme="minorHAnsi" w:hAnsiTheme="minorHAnsi" w:cstheme="minorHAnsi"/>
          <w:sz w:val="24"/>
          <w:szCs w:val="24"/>
        </w:rPr>
        <w:t xml:space="preserve">, A. (2019). The effect of corporate diversification, </w:t>
      </w:r>
      <w:r w:rsidR="009962C6" w:rsidRPr="001B1F5F">
        <w:rPr>
          <w:rFonts w:asciiTheme="minorHAnsi" w:hAnsiTheme="minorHAnsi" w:cstheme="minorHAnsi"/>
          <w:sz w:val="24"/>
          <w:szCs w:val="24"/>
        </w:rPr>
        <w:t xml:space="preserve">and </w:t>
      </w:r>
      <w:r w:rsidRPr="001B1F5F">
        <w:rPr>
          <w:rFonts w:asciiTheme="minorHAnsi" w:hAnsiTheme="minorHAnsi" w:cstheme="minorHAnsi"/>
          <w:sz w:val="24"/>
          <w:szCs w:val="24"/>
        </w:rPr>
        <w:t xml:space="preserve">customer concentration on tax avoidance in </w:t>
      </w:r>
      <w:proofErr w:type="spellStart"/>
      <w:r w:rsidRPr="001B1F5F">
        <w:rPr>
          <w:rFonts w:asciiTheme="minorHAnsi" w:hAnsiTheme="minorHAnsi" w:cstheme="minorHAnsi"/>
          <w:sz w:val="24"/>
          <w:szCs w:val="24"/>
        </w:rPr>
        <w:t>indonesia</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i/>
          <w:iCs/>
          <w:sz w:val="24"/>
          <w:szCs w:val="24"/>
        </w:rPr>
        <w:t>Jurnal</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Akuntansi</w:t>
      </w:r>
      <w:proofErr w:type="spellEnd"/>
      <w:r w:rsidRPr="001B1F5F">
        <w:rPr>
          <w:rFonts w:asciiTheme="minorHAnsi" w:hAnsiTheme="minorHAnsi" w:cstheme="minorHAnsi"/>
          <w:i/>
          <w:iCs/>
          <w:sz w:val="24"/>
          <w:szCs w:val="24"/>
        </w:rPr>
        <w:t xml:space="preserve"> </w:t>
      </w:r>
      <w:r w:rsidR="009A6B9A" w:rsidRPr="001B1F5F">
        <w:rPr>
          <w:rFonts w:asciiTheme="minorHAnsi" w:hAnsiTheme="minorHAnsi" w:cstheme="minorHAnsi"/>
          <w:i/>
          <w:iCs/>
          <w:sz w:val="24"/>
          <w:szCs w:val="24"/>
        </w:rPr>
        <w:t>d</w:t>
      </w:r>
      <w:r w:rsidRPr="001B1F5F">
        <w:rPr>
          <w:rFonts w:asciiTheme="minorHAnsi" w:hAnsiTheme="minorHAnsi" w:cstheme="minorHAnsi"/>
          <w:i/>
          <w:iCs/>
          <w:sz w:val="24"/>
          <w:szCs w:val="24"/>
        </w:rPr>
        <w:t xml:space="preserve">an </w:t>
      </w:r>
      <w:proofErr w:type="spellStart"/>
      <w:r w:rsidRPr="001B1F5F">
        <w:rPr>
          <w:rFonts w:asciiTheme="minorHAnsi" w:hAnsiTheme="minorHAnsi" w:cstheme="minorHAnsi"/>
          <w:i/>
          <w:iCs/>
          <w:sz w:val="24"/>
          <w:szCs w:val="24"/>
        </w:rPr>
        <w:t>Bisnis</w:t>
      </w:r>
      <w:proofErr w:type="spellEnd"/>
      <w:r w:rsidRPr="001B1F5F">
        <w:rPr>
          <w:rFonts w:asciiTheme="minorHAnsi" w:hAnsiTheme="minorHAnsi" w:cstheme="minorHAnsi"/>
          <w:sz w:val="24"/>
          <w:szCs w:val="24"/>
        </w:rPr>
        <w:t xml:space="preserve">, 19(2), Article 2. </w:t>
      </w:r>
    </w:p>
    <w:p w14:paraId="702A7B2F"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Atwood, T. J., Drake, M. S., Myers, J. N., &amp; Myers, L. A. (2012). Home country tax system characteristics and corporate tax avoidance: international evidence. </w:t>
      </w:r>
      <w:r w:rsidRPr="001B1F5F">
        <w:rPr>
          <w:rFonts w:asciiTheme="minorHAnsi" w:hAnsiTheme="minorHAnsi" w:cstheme="minorHAnsi"/>
          <w:i/>
          <w:iCs/>
          <w:sz w:val="24"/>
          <w:szCs w:val="24"/>
        </w:rPr>
        <w:t>The Accounting Review</w:t>
      </w:r>
      <w:r w:rsidRPr="001B1F5F">
        <w:rPr>
          <w:rFonts w:asciiTheme="minorHAnsi" w:hAnsiTheme="minorHAnsi" w:cstheme="minorHAnsi"/>
          <w:sz w:val="24"/>
          <w:szCs w:val="24"/>
        </w:rPr>
        <w:t>, 87(6), 1831–1860.</w:t>
      </w:r>
    </w:p>
    <w:p w14:paraId="28C4B2C9" w14:textId="51672A18"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Azizah</w:t>
      </w:r>
      <w:proofErr w:type="spellEnd"/>
      <w:r w:rsidRPr="001B1F5F">
        <w:rPr>
          <w:rFonts w:asciiTheme="minorHAnsi" w:hAnsiTheme="minorHAnsi" w:cstheme="minorHAnsi"/>
          <w:sz w:val="24"/>
          <w:szCs w:val="24"/>
        </w:rPr>
        <w:t xml:space="preserve">, N. &amp; </w:t>
      </w:r>
      <w:proofErr w:type="spellStart"/>
      <w:r w:rsidRPr="001B1F5F">
        <w:rPr>
          <w:rFonts w:asciiTheme="minorHAnsi" w:hAnsiTheme="minorHAnsi" w:cstheme="minorHAnsi"/>
          <w:sz w:val="24"/>
          <w:szCs w:val="24"/>
        </w:rPr>
        <w:t>Kusmuriyanto</w:t>
      </w:r>
      <w:proofErr w:type="spellEnd"/>
      <w:r w:rsidRPr="001B1F5F">
        <w:rPr>
          <w:rFonts w:asciiTheme="minorHAnsi" w:hAnsiTheme="minorHAnsi" w:cstheme="minorHAnsi"/>
          <w:sz w:val="24"/>
          <w:szCs w:val="24"/>
        </w:rPr>
        <w:t xml:space="preserve">, K. (2016). The effect of </w:t>
      </w:r>
      <w:r w:rsidR="001D1F14" w:rsidRPr="001B1F5F">
        <w:rPr>
          <w:rFonts w:asciiTheme="minorHAnsi" w:hAnsiTheme="minorHAnsi" w:cstheme="minorHAnsi"/>
          <w:sz w:val="24"/>
          <w:szCs w:val="24"/>
        </w:rPr>
        <w:t>related-party</w:t>
      </w:r>
      <w:r w:rsidRPr="001B1F5F">
        <w:rPr>
          <w:rFonts w:asciiTheme="minorHAnsi" w:hAnsiTheme="minorHAnsi" w:cstheme="minorHAnsi"/>
          <w:sz w:val="24"/>
          <w:szCs w:val="24"/>
        </w:rPr>
        <w:t xml:space="preserve"> transaction, leverage, commissioners and directors compensation on tax aggressiveness. </w:t>
      </w:r>
      <w:r w:rsidRPr="001B1F5F">
        <w:rPr>
          <w:rFonts w:asciiTheme="minorHAnsi" w:hAnsiTheme="minorHAnsi" w:cstheme="minorHAnsi"/>
          <w:i/>
          <w:iCs/>
          <w:sz w:val="24"/>
          <w:szCs w:val="24"/>
        </w:rPr>
        <w:t>Accounting Analysis Journal</w:t>
      </w:r>
      <w:r w:rsidRPr="001B1F5F">
        <w:rPr>
          <w:rFonts w:asciiTheme="minorHAnsi" w:hAnsiTheme="minorHAnsi" w:cstheme="minorHAnsi"/>
          <w:sz w:val="24"/>
          <w:szCs w:val="24"/>
        </w:rPr>
        <w:t xml:space="preserve">, 5(4), Article 4. </w:t>
      </w:r>
    </w:p>
    <w:p w14:paraId="1D0B947A"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Barker, J., </w:t>
      </w:r>
      <w:proofErr w:type="spellStart"/>
      <w:r w:rsidRPr="001B1F5F">
        <w:rPr>
          <w:rFonts w:asciiTheme="minorHAnsi" w:hAnsiTheme="minorHAnsi" w:cstheme="minorHAnsi"/>
          <w:sz w:val="24"/>
          <w:szCs w:val="24"/>
        </w:rPr>
        <w:t>Asare</w:t>
      </w:r>
      <w:proofErr w:type="spellEnd"/>
      <w:r w:rsidRPr="001B1F5F">
        <w:rPr>
          <w:rFonts w:asciiTheme="minorHAnsi" w:hAnsiTheme="minorHAnsi" w:cstheme="minorHAnsi"/>
          <w:sz w:val="24"/>
          <w:szCs w:val="24"/>
        </w:rPr>
        <w:t xml:space="preserve">, K., &amp; Brickman, S. (2017). Transfer pricing as a vehicle in corporate tax avoidance. </w:t>
      </w:r>
      <w:r w:rsidRPr="001B1F5F">
        <w:rPr>
          <w:rFonts w:asciiTheme="minorHAnsi" w:hAnsiTheme="minorHAnsi" w:cstheme="minorHAnsi"/>
          <w:i/>
          <w:iCs/>
          <w:sz w:val="24"/>
          <w:szCs w:val="24"/>
        </w:rPr>
        <w:t>Journal of Applied Business Research (JABR)</w:t>
      </w:r>
      <w:r w:rsidRPr="001B1F5F">
        <w:rPr>
          <w:rFonts w:asciiTheme="minorHAnsi" w:hAnsiTheme="minorHAnsi" w:cstheme="minorHAnsi"/>
          <w:sz w:val="24"/>
          <w:szCs w:val="24"/>
        </w:rPr>
        <w:t xml:space="preserve">, 33(1), Article 1. </w:t>
      </w:r>
    </w:p>
    <w:p w14:paraId="604BBC6C"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Bauer, A. M. (2016). Tax avoidance and the implications of weak internal controls. </w:t>
      </w:r>
      <w:r w:rsidRPr="001B1F5F">
        <w:rPr>
          <w:rFonts w:asciiTheme="minorHAnsi" w:hAnsiTheme="minorHAnsi" w:cstheme="minorHAnsi"/>
          <w:i/>
          <w:iCs/>
          <w:sz w:val="24"/>
          <w:szCs w:val="24"/>
        </w:rPr>
        <w:t>Contemporary Accounting Research</w:t>
      </w:r>
      <w:r w:rsidRPr="001B1F5F">
        <w:rPr>
          <w:rFonts w:asciiTheme="minorHAnsi" w:hAnsiTheme="minorHAnsi" w:cstheme="minorHAnsi"/>
          <w:sz w:val="24"/>
          <w:szCs w:val="24"/>
        </w:rPr>
        <w:t>, 33(2), 449–486.</w:t>
      </w:r>
    </w:p>
    <w:p w14:paraId="54886C9A"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Chen, K.-P. &amp; Chu, C. Y. C. (2005). Internal control versus external manipulation: a model of corporate income tax evasion. </w:t>
      </w:r>
      <w:r w:rsidRPr="001B1F5F">
        <w:rPr>
          <w:rFonts w:asciiTheme="minorHAnsi" w:hAnsiTheme="minorHAnsi" w:cstheme="minorHAnsi"/>
          <w:i/>
          <w:iCs/>
          <w:sz w:val="24"/>
          <w:szCs w:val="24"/>
        </w:rPr>
        <w:t>The RAND Journal of Economics</w:t>
      </w:r>
      <w:r w:rsidRPr="001B1F5F">
        <w:rPr>
          <w:rFonts w:asciiTheme="minorHAnsi" w:hAnsiTheme="minorHAnsi" w:cstheme="minorHAnsi"/>
          <w:sz w:val="24"/>
          <w:szCs w:val="24"/>
        </w:rPr>
        <w:t>, 36(1), 151–164.</w:t>
      </w:r>
    </w:p>
    <w:p w14:paraId="10BB22F8"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Crocker, K. J. &amp; </w:t>
      </w:r>
      <w:proofErr w:type="spellStart"/>
      <w:r w:rsidRPr="001B1F5F">
        <w:rPr>
          <w:rFonts w:asciiTheme="minorHAnsi" w:hAnsiTheme="minorHAnsi" w:cstheme="minorHAnsi"/>
          <w:sz w:val="24"/>
          <w:szCs w:val="24"/>
        </w:rPr>
        <w:t>Slemrod</w:t>
      </w:r>
      <w:proofErr w:type="spellEnd"/>
      <w:r w:rsidRPr="001B1F5F">
        <w:rPr>
          <w:rFonts w:asciiTheme="minorHAnsi" w:hAnsiTheme="minorHAnsi" w:cstheme="minorHAnsi"/>
          <w:sz w:val="24"/>
          <w:szCs w:val="24"/>
        </w:rPr>
        <w:t xml:space="preserve">, J. (2005). Corporate tax evasion with agency costs. </w:t>
      </w:r>
      <w:r w:rsidRPr="001B1F5F">
        <w:rPr>
          <w:rFonts w:asciiTheme="minorHAnsi" w:hAnsiTheme="minorHAnsi" w:cstheme="minorHAnsi"/>
          <w:i/>
          <w:iCs/>
          <w:sz w:val="24"/>
          <w:szCs w:val="24"/>
        </w:rPr>
        <w:t>Journal of Public Economics</w:t>
      </w:r>
      <w:r w:rsidRPr="001B1F5F">
        <w:rPr>
          <w:rFonts w:asciiTheme="minorHAnsi" w:hAnsiTheme="minorHAnsi" w:cstheme="minorHAnsi"/>
          <w:sz w:val="24"/>
          <w:szCs w:val="24"/>
        </w:rPr>
        <w:t xml:space="preserve">, 89(9), 1593–1610. </w:t>
      </w:r>
    </w:p>
    <w:p w14:paraId="76394175"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Damayanti, H. H. &amp; </w:t>
      </w:r>
      <w:proofErr w:type="spellStart"/>
      <w:r w:rsidRPr="001B1F5F">
        <w:rPr>
          <w:rFonts w:asciiTheme="minorHAnsi" w:hAnsiTheme="minorHAnsi" w:cstheme="minorHAnsi"/>
          <w:sz w:val="24"/>
          <w:szCs w:val="24"/>
        </w:rPr>
        <w:t>Prastiwi</w:t>
      </w:r>
      <w:proofErr w:type="spellEnd"/>
      <w:r w:rsidRPr="001B1F5F">
        <w:rPr>
          <w:rFonts w:asciiTheme="minorHAnsi" w:hAnsiTheme="minorHAnsi" w:cstheme="minorHAnsi"/>
          <w:sz w:val="24"/>
          <w:szCs w:val="24"/>
        </w:rPr>
        <w:t xml:space="preserve">, D. (2017). </w:t>
      </w:r>
      <w:proofErr w:type="spellStart"/>
      <w:r w:rsidRPr="001B1F5F">
        <w:rPr>
          <w:rFonts w:asciiTheme="minorHAnsi" w:hAnsiTheme="minorHAnsi" w:cstheme="minorHAnsi"/>
          <w:sz w:val="24"/>
          <w:szCs w:val="24"/>
        </w:rPr>
        <w:t>Peran</w:t>
      </w:r>
      <w:proofErr w:type="spellEnd"/>
      <w:r w:rsidRPr="001B1F5F">
        <w:rPr>
          <w:rFonts w:asciiTheme="minorHAnsi" w:hAnsiTheme="minorHAnsi" w:cstheme="minorHAnsi"/>
          <w:sz w:val="24"/>
          <w:szCs w:val="24"/>
        </w:rPr>
        <w:t xml:space="preserve"> OECD </w:t>
      </w:r>
      <w:proofErr w:type="spellStart"/>
      <w:r w:rsidRPr="001B1F5F">
        <w:rPr>
          <w:rFonts w:asciiTheme="minorHAnsi" w:hAnsiTheme="minorHAnsi" w:cstheme="minorHAnsi"/>
          <w:sz w:val="24"/>
          <w:szCs w:val="24"/>
        </w:rPr>
        <w:t>dalam</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meminimalkan</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upaya</w:t>
      </w:r>
      <w:proofErr w:type="spellEnd"/>
      <w:r w:rsidRPr="001B1F5F">
        <w:rPr>
          <w:rFonts w:asciiTheme="minorHAnsi" w:hAnsiTheme="minorHAnsi" w:cstheme="minorHAnsi"/>
          <w:sz w:val="24"/>
          <w:szCs w:val="24"/>
        </w:rPr>
        <w:t xml:space="preserve"> tax </w:t>
      </w:r>
      <w:proofErr w:type="spellStart"/>
      <w:r w:rsidRPr="001B1F5F">
        <w:rPr>
          <w:rFonts w:asciiTheme="minorHAnsi" w:hAnsiTheme="minorHAnsi" w:cstheme="minorHAnsi"/>
          <w:sz w:val="24"/>
          <w:szCs w:val="24"/>
        </w:rPr>
        <w:t>agresiveness</w:t>
      </w:r>
      <w:proofErr w:type="spellEnd"/>
      <w:r w:rsidRPr="001B1F5F">
        <w:rPr>
          <w:rFonts w:asciiTheme="minorHAnsi" w:hAnsiTheme="minorHAnsi" w:cstheme="minorHAnsi"/>
          <w:sz w:val="24"/>
          <w:szCs w:val="24"/>
        </w:rPr>
        <w:t xml:space="preserve"> pada </w:t>
      </w:r>
      <w:proofErr w:type="spellStart"/>
      <w:r w:rsidRPr="001B1F5F">
        <w:rPr>
          <w:rFonts w:asciiTheme="minorHAnsi" w:hAnsiTheme="minorHAnsi" w:cstheme="minorHAnsi"/>
          <w:sz w:val="24"/>
          <w:szCs w:val="24"/>
        </w:rPr>
        <w:t>perusahaan</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multinationality</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i/>
          <w:iCs/>
          <w:sz w:val="24"/>
          <w:szCs w:val="24"/>
        </w:rPr>
        <w:t>Jurnal</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Akuntansi</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Multiparadigma</w:t>
      </w:r>
      <w:proofErr w:type="spellEnd"/>
      <w:r w:rsidRPr="001B1F5F">
        <w:rPr>
          <w:rFonts w:asciiTheme="minorHAnsi" w:hAnsiTheme="minorHAnsi" w:cstheme="minorHAnsi"/>
          <w:sz w:val="24"/>
          <w:szCs w:val="24"/>
        </w:rPr>
        <w:t xml:space="preserve">, 8(1), Article 1. </w:t>
      </w:r>
    </w:p>
    <w:p w14:paraId="0D911CA5"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DDTCNews</w:t>
      </w:r>
      <w:proofErr w:type="spellEnd"/>
      <w:r w:rsidRPr="001B1F5F">
        <w:rPr>
          <w:rFonts w:asciiTheme="minorHAnsi" w:hAnsiTheme="minorHAnsi" w:cstheme="minorHAnsi"/>
          <w:sz w:val="24"/>
          <w:szCs w:val="24"/>
        </w:rPr>
        <w:t xml:space="preserve"> R. (2022). </w:t>
      </w:r>
      <w:proofErr w:type="spellStart"/>
      <w:r w:rsidRPr="001B1F5F">
        <w:rPr>
          <w:rFonts w:asciiTheme="minorHAnsi" w:hAnsiTheme="minorHAnsi" w:cstheme="minorHAnsi"/>
          <w:sz w:val="24"/>
          <w:szCs w:val="24"/>
        </w:rPr>
        <w:t>Begini</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tren</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penerimaan</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pajak</w:t>
      </w:r>
      <w:proofErr w:type="spellEnd"/>
      <w:r w:rsidRPr="001B1F5F">
        <w:rPr>
          <w:rFonts w:asciiTheme="minorHAnsi" w:hAnsiTheme="minorHAnsi" w:cstheme="minorHAnsi"/>
          <w:sz w:val="24"/>
          <w:szCs w:val="24"/>
        </w:rPr>
        <w:t xml:space="preserve"> 1 </w:t>
      </w:r>
      <w:proofErr w:type="spellStart"/>
      <w:r w:rsidRPr="001B1F5F">
        <w:rPr>
          <w:rFonts w:asciiTheme="minorHAnsi" w:hAnsiTheme="minorHAnsi" w:cstheme="minorHAnsi"/>
          <w:sz w:val="24"/>
          <w:szCs w:val="24"/>
        </w:rPr>
        <w:t>dekade</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terakhir</w:t>
      </w:r>
      <w:proofErr w:type="spellEnd"/>
      <w:r w:rsidRPr="001B1F5F">
        <w:rPr>
          <w:rFonts w:asciiTheme="minorHAnsi" w:hAnsiTheme="minorHAnsi" w:cstheme="minorHAnsi"/>
          <w:sz w:val="24"/>
          <w:szCs w:val="24"/>
        </w:rPr>
        <w:t xml:space="preserve">, 2021 </w:t>
      </w:r>
      <w:proofErr w:type="spellStart"/>
      <w:r w:rsidRPr="001B1F5F">
        <w:rPr>
          <w:rFonts w:asciiTheme="minorHAnsi" w:hAnsiTheme="minorHAnsi" w:cstheme="minorHAnsi"/>
          <w:sz w:val="24"/>
          <w:szCs w:val="24"/>
        </w:rPr>
        <w:t>jadi</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titik</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balik</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Diunduh</w:t>
      </w:r>
      <w:proofErr w:type="spellEnd"/>
      <w:r w:rsidRPr="001B1F5F">
        <w:rPr>
          <w:rFonts w:asciiTheme="minorHAnsi" w:hAnsiTheme="minorHAnsi" w:cstheme="minorHAnsi"/>
          <w:sz w:val="24"/>
          <w:szCs w:val="24"/>
        </w:rPr>
        <w:t xml:space="preserve"> pada 8 Mei 2023, </w:t>
      </w:r>
      <w:proofErr w:type="spellStart"/>
      <w:r w:rsidRPr="001B1F5F">
        <w:rPr>
          <w:rFonts w:asciiTheme="minorHAnsi" w:hAnsiTheme="minorHAnsi" w:cstheme="minorHAnsi"/>
          <w:sz w:val="24"/>
          <w:szCs w:val="24"/>
        </w:rPr>
        <w:t>dari</w:t>
      </w:r>
      <w:proofErr w:type="spellEnd"/>
      <w:r w:rsidRPr="001B1F5F">
        <w:rPr>
          <w:rFonts w:asciiTheme="minorHAnsi" w:hAnsiTheme="minorHAnsi" w:cstheme="minorHAnsi"/>
          <w:sz w:val="24"/>
          <w:szCs w:val="24"/>
        </w:rPr>
        <w:t xml:space="preserve"> https://news.ddtc.co.id/begini-tren-penerimaan-pajak-1-dekade-terakhir-2021-jadi-titik-balik-38783.</w:t>
      </w:r>
    </w:p>
    <w:p w14:paraId="1304923A"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lastRenderedPageBreak/>
        <w:t xml:space="preserve">Desai, M. A., Dyck, A., &amp; Zingales, L. (2007). Theft and taxes. </w:t>
      </w:r>
      <w:r w:rsidRPr="001B1F5F">
        <w:rPr>
          <w:rFonts w:asciiTheme="minorHAnsi" w:hAnsiTheme="minorHAnsi" w:cstheme="minorHAnsi"/>
          <w:i/>
          <w:iCs/>
          <w:sz w:val="24"/>
          <w:szCs w:val="24"/>
        </w:rPr>
        <w:t>Journal of Financial Economics</w:t>
      </w:r>
      <w:r w:rsidRPr="001B1F5F">
        <w:rPr>
          <w:rFonts w:asciiTheme="minorHAnsi" w:hAnsiTheme="minorHAnsi" w:cstheme="minorHAnsi"/>
          <w:sz w:val="24"/>
          <w:szCs w:val="24"/>
        </w:rPr>
        <w:t xml:space="preserve">, 84(3), 591–623. </w:t>
      </w:r>
    </w:p>
    <w:p w14:paraId="7EBA0357" w14:textId="7F5550AD" w:rsidR="0073238E" w:rsidRPr="0073238E" w:rsidRDefault="0073238E" w:rsidP="0073238E">
      <w:pPr>
        <w:pStyle w:val="NoSpacing"/>
        <w:spacing w:after="120"/>
        <w:ind w:left="720" w:hanging="720"/>
        <w:jc w:val="both"/>
        <w:rPr>
          <w:rFonts w:asciiTheme="minorHAnsi" w:hAnsiTheme="minorHAnsi" w:cstheme="minorHAnsi"/>
          <w:sz w:val="24"/>
          <w:szCs w:val="24"/>
        </w:rPr>
      </w:pPr>
      <w:proofErr w:type="spellStart"/>
      <w:r w:rsidRPr="0073238E">
        <w:rPr>
          <w:rFonts w:asciiTheme="minorHAnsi" w:hAnsiTheme="minorHAnsi" w:cstheme="minorHAnsi"/>
          <w:sz w:val="24"/>
          <w:szCs w:val="24"/>
        </w:rPr>
        <w:t>Dewi</w:t>
      </w:r>
      <w:proofErr w:type="spellEnd"/>
      <w:r w:rsidRPr="0073238E">
        <w:rPr>
          <w:rFonts w:asciiTheme="minorHAnsi" w:hAnsiTheme="minorHAnsi" w:cstheme="minorHAnsi"/>
          <w:sz w:val="24"/>
          <w:szCs w:val="24"/>
        </w:rPr>
        <w:t xml:space="preserve"> K</w:t>
      </w:r>
      <w:r w:rsidR="00081DBF">
        <w:rPr>
          <w:rFonts w:asciiTheme="minorHAnsi" w:hAnsiTheme="minorHAnsi" w:cstheme="minorHAnsi"/>
          <w:sz w:val="24"/>
          <w:szCs w:val="24"/>
        </w:rPr>
        <w:t>.</w:t>
      </w:r>
      <w:r w:rsidRPr="0073238E">
        <w:rPr>
          <w:rFonts w:asciiTheme="minorHAnsi" w:hAnsiTheme="minorHAnsi" w:cstheme="minorHAnsi"/>
          <w:sz w:val="24"/>
          <w:szCs w:val="24"/>
        </w:rPr>
        <w:t>S</w:t>
      </w:r>
      <w:r w:rsidR="00081DBF">
        <w:rPr>
          <w:rFonts w:asciiTheme="minorHAnsi" w:hAnsiTheme="minorHAnsi" w:cstheme="minorHAnsi"/>
          <w:sz w:val="24"/>
          <w:szCs w:val="24"/>
        </w:rPr>
        <w:t xml:space="preserve">. </w:t>
      </w:r>
      <w:r w:rsidRPr="0073238E">
        <w:rPr>
          <w:rFonts w:asciiTheme="minorHAnsi" w:hAnsiTheme="minorHAnsi" w:cstheme="minorHAnsi"/>
          <w:sz w:val="24"/>
          <w:szCs w:val="24"/>
        </w:rPr>
        <w:t xml:space="preserve">&amp; </w:t>
      </w:r>
      <w:proofErr w:type="spellStart"/>
      <w:r w:rsidRPr="0073238E">
        <w:rPr>
          <w:rFonts w:asciiTheme="minorHAnsi" w:hAnsiTheme="minorHAnsi" w:cstheme="minorHAnsi"/>
          <w:sz w:val="24"/>
          <w:szCs w:val="24"/>
        </w:rPr>
        <w:t>Yasa</w:t>
      </w:r>
      <w:proofErr w:type="spellEnd"/>
      <w:r w:rsidRPr="0073238E">
        <w:rPr>
          <w:rFonts w:asciiTheme="minorHAnsi" w:hAnsiTheme="minorHAnsi" w:cstheme="minorHAnsi"/>
          <w:sz w:val="24"/>
          <w:szCs w:val="24"/>
        </w:rPr>
        <w:t xml:space="preserve"> G</w:t>
      </w:r>
      <w:r w:rsidR="00081DBF">
        <w:rPr>
          <w:rFonts w:asciiTheme="minorHAnsi" w:hAnsiTheme="minorHAnsi" w:cstheme="minorHAnsi"/>
          <w:sz w:val="24"/>
          <w:szCs w:val="24"/>
        </w:rPr>
        <w:t>.</w:t>
      </w:r>
      <w:r w:rsidRPr="0073238E">
        <w:rPr>
          <w:rFonts w:asciiTheme="minorHAnsi" w:hAnsiTheme="minorHAnsi" w:cstheme="minorHAnsi"/>
          <w:sz w:val="24"/>
          <w:szCs w:val="24"/>
        </w:rPr>
        <w:t xml:space="preserve">W. </w:t>
      </w:r>
      <w:r w:rsidR="00081DBF">
        <w:rPr>
          <w:rFonts w:asciiTheme="minorHAnsi" w:hAnsiTheme="minorHAnsi" w:cstheme="minorHAnsi"/>
          <w:sz w:val="24"/>
          <w:szCs w:val="24"/>
        </w:rPr>
        <w:t>(</w:t>
      </w:r>
      <w:r w:rsidRPr="0073238E">
        <w:rPr>
          <w:rFonts w:asciiTheme="minorHAnsi" w:hAnsiTheme="minorHAnsi" w:cstheme="minorHAnsi"/>
          <w:sz w:val="24"/>
          <w:szCs w:val="24"/>
        </w:rPr>
        <w:t>2020</w:t>
      </w:r>
      <w:r w:rsidR="00081DBF">
        <w:rPr>
          <w:rFonts w:asciiTheme="minorHAnsi" w:hAnsiTheme="minorHAnsi" w:cstheme="minorHAnsi"/>
          <w:sz w:val="24"/>
          <w:szCs w:val="24"/>
        </w:rPr>
        <w:t>)</w:t>
      </w:r>
      <w:r w:rsidRPr="0073238E">
        <w:rPr>
          <w:rFonts w:asciiTheme="minorHAnsi" w:hAnsiTheme="minorHAnsi" w:cstheme="minorHAnsi"/>
          <w:sz w:val="24"/>
          <w:szCs w:val="24"/>
        </w:rPr>
        <w:t xml:space="preserve">. </w:t>
      </w:r>
      <w:r w:rsidR="00081DBF">
        <w:rPr>
          <w:rFonts w:asciiTheme="minorHAnsi" w:hAnsiTheme="minorHAnsi" w:cstheme="minorHAnsi"/>
          <w:sz w:val="24"/>
          <w:szCs w:val="24"/>
        </w:rPr>
        <w:t>T</w:t>
      </w:r>
      <w:r w:rsidR="00081DBF" w:rsidRPr="0073238E">
        <w:rPr>
          <w:rFonts w:asciiTheme="minorHAnsi" w:hAnsiTheme="minorHAnsi" w:cstheme="minorHAnsi"/>
          <w:sz w:val="24"/>
          <w:szCs w:val="24"/>
        </w:rPr>
        <w:t>he effects of executive and company characteristics on tax aggressiveness</w:t>
      </w:r>
      <w:r w:rsidRPr="0073238E">
        <w:rPr>
          <w:rFonts w:asciiTheme="minorHAnsi" w:hAnsiTheme="minorHAnsi" w:cstheme="minorHAnsi"/>
          <w:sz w:val="24"/>
          <w:szCs w:val="24"/>
        </w:rPr>
        <w:t xml:space="preserve">. </w:t>
      </w:r>
      <w:proofErr w:type="spellStart"/>
      <w:r w:rsidRPr="0073238E">
        <w:rPr>
          <w:rFonts w:asciiTheme="minorHAnsi" w:hAnsiTheme="minorHAnsi" w:cstheme="minorHAnsi"/>
          <w:i/>
          <w:iCs/>
          <w:sz w:val="24"/>
          <w:szCs w:val="24"/>
        </w:rPr>
        <w:t>Jurnal</w:t>
      </w:r>
      <w:proofErr w:type="spellEnd"/>
      <w:r w:rsidRPr="0073238E">
        <w:rPr>
          <w:rFonts w:asciiTheme="minorHAnsi" w:hAnsiTheme="minorHAnsi" w:cstheme="minorHAnsi"/>
          <w:i/>
          <w:iCs/>
          <w:sz w:val="24"/>
          <w:szCs w:val="24"/>
        </w:rPr>
        <w:t xml:space="preserve"> </w:t>
      </w:r>
      <w:proofErr w:type="spellStart"/>
      <w:r w:rsidRPr="0073238E">
        <w:rPr>
          <w:rFonts w:asciiTheme="minorHAnsi" w:hAnsiTheme="minorHAnsi" w:cstheme="minorHAnsi"/>
          <w:i/>
          <w:iCs/>
          <w:sz w:val="24"/>
          <w:szCs w:val="24"/>
        </w:rPr>
        <w:t>Ilmiah</w:t>
      </w:r>
      <w:proofErr w:type="spellEnd"/>
      <w:r w:rsidRPr="0073238E">
        <w:rPr>
          <w:rFonts w:asciiTheme="minorHAnsi" w:hAnsiTheme="minorHAnsi" w:cstheme="minorHAnsi"/>
          <w:i/>
          <w:iCs/>
          <w:sz w:val="24"/>
          <w:szCs w:val="24"/>
        </w:rPr>
        <w:t xml:space="preserve"> </w:t>
      </w:r>
      <w:proofErr w:type="spellStart"/>
      <w:r w:rsidRPr="0073238E">
        <w:rPr>
          <w:rFonts w:asciiTheme="minorHAnsi" w:hAnsiTheme="minorHAnsi" w:cstheme="minorHAnsi"/>
          <w:i/>
          <w:iCs/>
          <w:sz w:val="24"/>
          <w:szCs w:val="24"/>
        </w:rPr>
        <w:t>Akuntansi</w:t>
      </w:r>
      <w:proofErr w:type="spellEnd"/>
      <w:r w:rsidRPr="0073238E">
        <w:rPr>
          <w:rFonts w:asciiTheme="minorHAnsi" w:hAnsiTheme="minorHAnsi" w:cstheme="minorHAnsi"/>
          <w:i/>
          <w:iCs/>
          <w:sz w:val="24"/>
          <w:szCs w:val="24"/>
        </w:rPr>
        <w:t xml:space="preserve"> dan </w:t>
      </w:r>
      <w:proofErr w:type="spellStart"/>
      <w:r w:rsidRPr="0073238E">
        <w:rPr>
          <w:rFonts w:asciiTheme="minorHAnsi" w:hAnsiTheme="minorHAnsi" w:cstheme="minorHAnsi"/>
          <w:i/>
          <w:iCs/>
          <w:sz w:val="24"/>
          <w:szCs w:val="24"/>
        </w:rPr>
        <w:t>Bisnis</w:t>
      </w:r>
      <w:proofErr w:type="spellEnd"/>
      <w:r w:rsidRPr="0073238E">
        <w:rPr>
          <w:rFonts w:asciiTheme="minorHAnsi" w:hAnsiTheme="minorHAnsi" w:cstheme="minorHAnsi"/>
          <w:sz w:val="24"/>
          <w:szCs w:val="24"/>
        </w:rPr>
        <w:t xml:space="preserve">, </w:t>
      </w:r>
      <w:r w:rsidRPr="0073238E">
        <w:rPr>
          <w:rFonts w:asciiTheme="minorHAnsi" w:hAnsiTheme="minorHAnsi" w:cstheme="minorHAnsi"/>
          <w:i/>
          <w:iCs/>
          <w:sz w:val="24"/>
          <w:szCs w:val="24"/>
        </w:rPr>
        <w:t>15</w:t>
      </w:r>
      <w:r w:rsidRPr="0073238E">
        <w:rPr>
          <w:rFonts w:asciiTheme="minorHAnsi" w:hAnsiTheme="minorHAnsi" w:cstheme="minorHAnsi"/>
          <w:sz w:val="24"/>
          <w:szCs w:val="24"/>
        </w:rPr>
        <w:t xml:space="preserve">(2), Article 2. </w:t>
      </w:r>
    </w:p>
    <w:p w14:paraId="316A7BF6" w14:textId="2B32100E"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Dyreng</w:t>
      </w:r>
      <w:proofErr w:type="spellEnd"/>
      <w:r w:rsidRPr="001B1F5F">
        <w:rPr>
          <w:rFonts w:asciiTheme="minorHAnsi" w:hAnsiTheme="minorHAnsi" w:cstheme="minorHAnsi"/>
          <w:sz w:val="24"/>
          <w:szCs w:val="24"/>
        </w:rPr>
        <w:t>, S. D., Hanlon, M., &amp; Maydew, E. L. (20</w:t>
      </w:r>
      <w:r w:rsidR="00805160" w:rsidRPr="001B1F5F">
        <w:rPr>
          <w:rFonts w:asciiTheme="minorHAnsi" w:hAnsiTheme="minorHAnsi" w:cstheme="minorHAnsi"/>
          <w:sz w:val="24"/>
          <w:szCs w:val="24"/>
        </w:rPr>
        <w:t>19</w:t>
      </w:r>
      <w:r w:rsidRPr="001B1F5F">
        <w:rPr>
          <w:rFonts w:asciiTheme="minorHAnsi" w:hAnsiTheme="minorHAnsi" w:cstheme="minorHAnsi"/>
          <w:sz w:val="24"/>
          <w:szCs w:val="24"/>
        </w:rPr>
        <w:t xml:space="preserve">). </w:t>
      </w:r>
      <w:r w:rsidR="00805160" w:rsidRPr="001B1F5F">
        <w:rPr>
          <w:rFonts w:asciiTheme="minorHAnsi" w:hAnsiTheme="minorHAnsi" w:cstheme="minorHAnsi"/>
          <w:sz w:val="24"/>
          <w:szCs w:val="24"/>
        </w:rPr>
        <w:t xml:space="preserve">When Does Tax Avoidance Result in Tax Uncertainty? </w:t>
      </w:r>
      <w:r w:rsidR="00805160" w:rsidRPr="001B1F5F">
        <w:rPr>
          <w:rFonts w:asciiTheme="minorHAnsi" w:hAnsiTheme="minorHAnsi" w:cstheme="minorHAnsi"/>
          <w:i/>
          <w:iCs/>
          <w:sz w:val="24"/>
          <w:szCs w:val="24"/>
        </w:rPr>
        <w:t>The Accounting Review</w:t>
      </w:r>
      <w:r w:rsidR="00805160" w:rsidRPr="001B1F5F">
        <w:rPr>
          <w:rFonts w:asciiTheme="minorHAnsi" w:hAnsiTheme="minorHAnsi" w:cstheme="minorHAnsi"/>
          <w:sz w:val="24"/>
          <w:szCs w:val="24"/>
        </w:rPr>
        <w:t xml:space="preserve">, 94(2), 179–203. </w:t>
      </w:r>
    </w:p>
    <w:p w14:paraId="5D224B61" w14:textId="4D17ABF4"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Ellyani</w:t>
      </w:r>
      <w:proofErr w:type="spellEnd"/>
      <w:r w:rsidRPr="001B1F5F">
        <w:rPr>
          <w:rFonts w:asciiTheme="minorHAnsi" w:hAnsiTheme="minorHAnsi" w:cstheme="minorHAnsi"/>
          <w:sz w:val="24"/>
          <w:szCs w:val="24"/>
        </w:rPr>
        <w:t xml:space="preserve">, M. &amp; </w:t>
      </w:r>
      <w:proofErr w:type="spellStart"/>
      <w:r w:rsidRPr="001B1F5F">
        <w:rPr>
          <w:rFonts w:asciiTheme="minorHAnsi" w:hAnsiTheme="minorHAnsi" w:cstheme="minorHAnsi"/>
          <w:sz w:val="24"/>
          <w:szCs w:val="24"/>
        </w:rPr>
        <w:t>Hudayati</w:t>
      </w:r>
      <w:proofErr w:type="spellEnd"/>
      <w:r w:rsidRPr="001B1F5F">
        <w:rPr>
          <w:rFonts w:asciiTheme="minorHAnsi" w:hAnsiTheme="minorHAnsi" w:cstheme="minorHAnsi"/>
          <w:sz w:val="24"/>
          <w:szCs w:val="24"/>
        </w:rPr>
        <w:t xml:space="preserve">, A. (2019). The role of </w:t>
      </w:r>
      <w:r w:rsidR="001D1F14" w:rsidRPr="001B1F5F">
        <w:rPr>
          <w:rFonts w:asciiTheme="minorHAnsi" w:hAnsiTheme="minorHAnsi" w:cstheme="minorHAnsi"/>
          <w:sz w:val="24"/>
          <w:szCs w:val="24"/>
        </w:rPr>
        <w:t>related-party</w:t>
      </w:r>
      <w:r w:rsidRPr="001B1F5F">
        <w:rPr>
          <w:rFonts w:asciiTheme="minorHAnsi" w:hAnsiTheme="minorHAnsi" w:cstheme="minorHAnsi"/>
          <w:sz w:val="24"/>
          <w:szCs w:val="24"/>
        </w:rPr>
        <w:t xml:space="preserve"> transaction and earning management in reducing tax aggressiveness. </w:t>
      </w:r>
      <w:proofErr w:type="spellStart"/>
      <w:r w:rsidRPr="001B1F5F">
        <w:rPr>
          <w:rFonts w:asciiTheme="minorHAnsi" w:hAnsiTheme="minorHAnsi" w:cstheme="minorHAnsi"/>
          <w:i/>
          <w:iCs/>
          <w:sz w:val="24"/>
          <w:szCs w:val="24"/>
        </w:rPr>
        <w:t>Riset</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Akuntansi</w:t>
      </w:r>
      <w:proofErr w:type="spellEnd"/>
      <w:r w:rsidRPr="001B1F5F">
        <w:rPr>
          <w:rFonts w:asciiTheme="minorHAnsi" w:hAnsiTheme="minorHAnsi" w:cstheme="minorHAnsi"/>
          <w:i/>
          <w:iCs/>
          <w:sz w:val="24"/>
          <w:szCs w:val="24"/>
        </w:rPr>
        <w:t xml:space="preserve"> Dan </w:t>
      </w:r>
      <w:proofErr w:type="spellStart"/>
      <w:r w:rsidRPr="001B1F5F">
        <w:rPr>
          <w:rFonts w:asciiTheme="minorHAnsi" w:hAnsiTheme="minorHAnsi" w:cstheme="minorHAnsi"/>
          <w:i/>
          <w:iCs/>
          <w:sz w:val="24"/>
          <w:szCs w:val="24"/>
        </w:rPr>
        <w:t>Keuangan</w:t>
      </w:r>
      <w:proofErr w:type="spellEnd"/>
      <w:r w:rsidRPr="001B1F5F">
        <w:rPr>
          <w:rFonts w:asciiTheme="minorHAnsi" w:hAnsiTheme="minorHAnsi" w:cstheme="minorHAnsi"/>
          <w:i/>
          <w:iCs/>
          <w:sz w:val="24"/>
          <w:szCs w:val="24"/>
        </w:rPr>
        <w:t xml:space="preserve"> Indonesia</w:t>
      </w:r>
      <w:r w:rsidRPr="001B1F5F">
        <w:rPr>
          <w:rFonts w:asciiTheme="minorHAnsi" w:hAnsiTheme="minorHAnsi" w:cstheme="minorHAnsi"/>
          <w:sz w:val="24"/>
          <w:szCs w:val="24"/>
        </w:rPr>
        <w:t xml:space="preserve">, 4(3), Article 3. </w:t>
      </w:r>
    </w:p>
    <w:p w14:paraId="5258ED22" w14:textId="77D1F3E6" w:rsidR="0073238E" w:rsidRDefault="0073238E" w:rsidP="0073238E">
      <w:pPr>
        <w:pStyle w:val="NoSpacing"/>
        <w:spacing w:after="120"/>
        <w:ind w:left="720" w:hanging="720"/>
        <w:jc w:val="both"/>
        <w:rPr>
          <w:rFonts w:asciiTheme="minorHAnsi" w:hAnsiTheme="minorHAnsi" w:cstheme="minorHAnsi"/>
          <w:sz w:val="24"/>
          <w:szCs w:val="24"/>
        </w:rPr>
      </w:pPr>
      <w:proofErr w:type="spellStart"/>
      <w:r w:rsidRPr="0073238E">
        <w:rPr>
          <w:rFonts w:asciiTheme="minorHAnsi" w:hAnsiTheme="minorHAnsi" w:cstheme="minorHAnsi"/>
          <w:sz w:val="24"/>
          <w:szCs w:val="24"/>
        </w:rPr>
        <w:t>Fauzan</w:t>
      </w:r>
      <w:proofErr w:type="spellEnd"/>
      <w:r w:rsidRPr="0073238E">
        <w:rPr>
          <w:rFonts w:asciiTheme="minorHAnsi" w:hAnsiTheme="minorHAnsi" w:cstheme="minorHAnsi"/>
          <w:sz w:val="24"/>
          <w:szCs w:val="24"/>
        </w:rPr>
        <w:t xml:space="preserve"> F, </w:t>
      </w:r>
      <w:proofErr w:type="spellStart"/>
      <w:r w:rsidRPr="0073238E">
        <w:rPr>
          <w:rFonts w:asciiTheme="minorHAnsi" w:hAnsiTheme="minorHAnsi" w:cstheme="minorHAnsi"/>
          <w:sz w:val="24"/>
          <w:szCs w:val="24"/>
        </w:rPr>
        <w:t>Ayu</w:t>
      </w:r>
      <w:proofErr w:type="spellEnd"/>
      <w:r w:rsidRPr="0073238E">
        <w:rPr>
          <w:rFonts w:asciiTheme="minorHAnsi" w:hAnsiTheme="minorHAnsi" w:cstheme="minorHAnsi"/>
          <w:sz w:val="24"/>
          <w:szCs w:val="24"/>
        </w:rPr>
        <w:t xml:space="preserve"> D</w:t>
      </w:r>
      <w:r>
        <w:rPr>
          <w:rFonts w:asciiTheme="minorHAnsi" w:hAnsiTheme="minorHAnsi" w:cstheme="minorHAnsi"/>
          <w:sz w:val="24"/>
          <w:szCs w:val="24"/>
        </w:rPr>
        <w:t>.</w:t>
      </w:r>
      <w:r w:rsidRPr="0073238E">
        <w:rPr>
          <w:rFonts w:asciiTheme="minorHAnsi" w:hAnsiTheme="minorHAnsi" w:cstheme="minorHAnsi"/>
          <w:sz w:val="24"/>
          <w:szCs w:val="24"/>
        </w:rPr>
        <w:t>A</w:t>
      </w:r>
      <w:r>
        <w:rPr>
          <w:rFonts w:asciiTheme="minorHAnsi" w:hAnsiTheme="minorHAnsi" w:cstheme="minorHAnsi"/>
          <w:sz w:val="24"/>
          <w:szCs w:val="24"/>
        </w:rPr>
        <w:t>.</w:t>
      </w:r>
      <w:r w:rsidRPr="0073238E">
        <w:rPr>
          <w:rFonts w:asciiTheme="minorHAnsi" w:hAnsiTheme="minorHAnsi" w:cstheme="minorHAnsi"/>
          <w:sz w:val="24"/>
          <w:szCs w:val="24"/>
        </w:rPr>
        <w:t xml:space="preserve">, &amp; </w:t>
      </w:r>
      <w:proofErr w:type="spellStart"/>
      <w:r w:rsidRPr="0073238E">
        <w:rPr>
          <w:rFonts w:asciiTheme="minorHAnsi" w:hAnsiTheme="minorHAnsi" w:cstheme="minorHAnsi"/>
          <w:sz w:val="24"/>
          <w:szCs w:val="24"/>
        </w:rPr>
        <w:t>Nurharjanti</w:t>
      </w:r>
      <w:proofErr w:type="spellEnd"/>
      <w:r w:rsidRPr="0073238E">
        <w:rPr>
          <w:rFonts w:asciiTheme="minorHAnsi" w:hAnsiTheme="minorHAnsi" w:cstheme="minorHAnsi"/>
          <w:sz w:val="24"/>
          <w:szCs w:val="24"/>
        </w:rPr>
        <w:t xml:space="preserve"> N</w:t>
      </w:r>
      <w:r>
        <w:rPr>
          <w:rFonts w:asciiTheme="minorHAnsi" w:hAnsiTheme="minorHAnsi" w:cstheme="minorHAnsi"/>
          <w:sz w:val="24"/>
          <w:szCs w:val="24"/>
        </w:rPr>
        <w:t>.</w:t>
      </w:r>
      <w:r w:rsidRPr="0073238E">
        <w:rPr>
          <w:rFonts w:asciiTheme="minorHAnsi" w:hAnsiTheme="minorHAnsi" w:cstheme="minorHAnsi"/>
          <w:sz w:val="24"/>
          <w:szCs w:val="24"/>
        </w:rPr>
        <w:t xml:space="preserve">N. </w:t>
      </w:r>
      <w:r>
        <w:rPr>
          <w:rFonts w:asciiTheme="minorHAnsi" w:hAnsiTheme="minorHAnsi" w:cstheme="minorHAnsi"/>
          <w:sz w:val="24"/>
          <w:szCs w:val="24"/>
        </w:rPr>
        <w:t>(</w:t>
      </w:r>
      <w:r w:rsidRPr="0073238E">
        <w:rPr>
          <w:rFonts w:asciiTheme="minorHAnsi" w:hAnsiTheme="minorHAnsi" w:cstheme="minorHAnsi"/>
          <w:sz w:val="24"/>
          <w:szCs w:val="24"/>
        </w:rPr>
        <w:t>2019</w:t>
      </w:r>
      <w:r>
        <w:rPr>
          <w:rFonts w:asciiTheme="minorHAnsi" w:hAnsiTheme="minorHAnsi" w:cstheme="minorHAnsi"/>
          <w:sz w:val="24"/>
          <w:szCs w:val="24"/>
        </w:rPr>
        <w:t>)</w:t>
      </w:r>
      <w:r w:rsidRPr="0073238E">
        <w:rPr>
          <w:rFonts w:asciiTheme="minorHAnsi" w:hAnsiTheme="minorHAnsi" w:cstheme="minorHAnsi"/>
          <w:sz w:val="24"/>
          <w:szCs w:val="24"/>
        </w:rPr>
        <w:t xml:space="preserve">. </w:t>
      </w:r>
      <w:r>
        <w:rPr>
          <w:rFonts w:asciiTheme="minorHAnsi" w:hAnsiTheme="minorHAnsi" w:cstheme="minorHAnsi"/>
          <w:sz w:val="24"/>
          <w:szCs w:val="24"/>
        </w:rPr>
        <w:t>T</w:t>
      </w:r>
      <w:r w:rsidRPr="0073238E">
        <w:rPr>
          <w:rFonts w:asciiTheme="minorHAnsi" w:hAnsiTheme="minorHAnsi" w:cstheme="minorHAnsi"/>
          <w:sz w:val="24"/>
          <w:szCs w:val="24"/>
        </w:rPr>
        <w:t xml:space="preserve">he effect of audit committee, leverage, return on assets, company size, and sales growth on tax avoidance. </w:t>
      </w:r>
      <w:proofErr w:type="spellStart"/>
      <w:r w:rsidRPr="0073238E">
        <w:rPr>
          <w:rFonts w:asciiTheme="minorHAnsi" w:hAnsiTheme="minorHAnsi" w:cstheme="minorHAnsi"/>
          <w:i/>
          <w:iCs/>
          <w:sz w:val="24"/>
          <w:szCs w:val="24"/>
        </w:rPr>
        <w:t>Riset</w:t>
      </w:r>
      <w:proofErr w:type="spellEnd"/>
      <w:r w:rsidRPr="0073238E">
        <w:rPr>
          <w:rFonts w:asciiTheme="minorHAnsi" w:hAnsiTheme="minorHAnsi" w:cstheme="minorHAnsi"/>
          <w:i/>
          <w:iCs/>
          <w:sz w:val="24"/>
          <w:szCs w:val="24"/>
        </w:rPr>
        <w:t xml:space="preserve"> </w:t>
      </w:r>
      <w:proofErr w:type="spellStart"/>
      <w:r w:rsidRPr="0073238E">
        <w:rPr>
          <w:rFonts w:asciiTheme="minorHAnsi" w:hAnsiTheme="minorHAnsi" w:cstheme="minorHAnsi"/>
          <w:i/>
          <w:iCs/>
          <w:sz w:val="24"/>
          <w:szCs w:val="24"/>
        </w:rPr>
        <w:t>Akuntansi</w:t>
      </w:r>
      <w:proofErr w:type="spellEnd"/>
      <w:r w:rsidRPr="0073238E">
        <w:rPr>
          <w:rFonts w:asciiTheme="minorHAnsi" w:hAnsiTheme="minorHAnsi" w:cstheme="minorHAnsi"/>
          <w:i/>
          <w:iCs/>
          <w:sz w:val="24"/>
          <w:szCs w:val="24"/>
        </w:rPr>
        <w:t xml:space="preserve"> dan </w:t>
      </w:r>
      <w:proofErr w:type="spellStart"/>
      <w:r w:rsidRPr="0073238E">
        <w:rPr>
          <w:rFonts w:asciiTheme="minorHAnsi" w:hAnsiTheme="minorHAnsi" w:cstheme="minorHAnsi"/>
          <w:i/>
          <w:iCs/>
          <w:sz w:val="24"/>
          <w:szCs w:val="24"/>
        </w:rPr>
        <w:t>Keuangan</w:t>
      </w:r>
      <w:proofErr w:type="spellEnd"/>
      <w:r w:rsidRPr="0073238E">
        <w:rPr>
          <w:rFonts w:asciiTheme="minorHAnsi" w:hAnsiTheme="minorHAnsi" w:cstheme="minorHAnsi"/>
          <w:i/>
          <w:iCs/>
          <w:sz w:val="24"/>
          <w:szCs w:val="24"/>
        </w:rPr>
        <w:t xml:space="preserve"> Indonesia</w:t>
      </w:r>
      <w:r w:rsidRPr="0073238E">
        <w:rPr>
          <w:rFonts w:asciiTheme="minorHAnsi" w:hAnsiTheme="minorHAnsi" w:cstheme="minorHAnsi"/>
          <w:sz w:val="24"/>
          <w:szCs w:val="24"/>
        </w:rPr>
        <w:t xml:space="preserve">, </w:t>
      </w:r>
      <w:r w:rsidRPr="0073238E">
        <w:rPr>
          <w:rFonts w:asciiTheme="minorHAnsi" w:hAnsiTheme="minorHAnsi" w:cstheme="minorHAnsi"/>
          <w:i/>
          <w:iCs/>
          <w:sz w:val="24"/>
          <w:szCs w:val="24"/>
        </w:rPr>
        <w:t>4</w:t>
      </w:r>
      <w:r w:rsidRPr="0073238E">
        <w:rPr>
          <w:rFonts w:asciiTheme="minorHAnsi" w:hAnsiTheme="minorHAnsi" w:cstheme="minorHAnsi"/>
          <w:sz w:val="24"/>
          <w:szCs w:val="24"/>
        </w:rPr>
        <w:t>(3), Article 3.</w:t>
      </w:r>
    </w:p>
    <w:p w14:paraId="07B2BF3A" w14:textId="40748D2E"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Fitri</w:t>
      </w:r>
      <w:proofErr w:type="spellEnd"/>
      <w:r w:rsidRPr="001B1F5F">
        <w:rPr>
          <w:rFonts w:asciiTheme="minorHAnsi" w:hAnsiTheme="minorHAnsi" w:cstheme="minorHAnsi"/>
          <w:sz w:val="24"/>
          <w:szCs w:val="24"/>
        </w:rPr>
        <w:t xml:space="preserve">, R. A. &amp; </w:t>
      </w:r>
      <w:proofErr w:type="spellStart"/>
      <w:r w:rsidRPr="001B1F5F">
        <w:rPr>
          <w:rFonts w:asciiTheme="minorHAnsi" w:hAnsiTheme="minorHAnsi" w:cstheme="minorHAnsi"/>
          <w:sz w:val="24"/>
          <w:szCs w:val="24"/>
        </w:rPr>
        <w:t>Munandar</w:t>
      </w:r>
      <w:proofErr w:type="spellEnd"/>
      <w:r w:rsidRPr="001B1F5F">
        <w:rPr>
          <w:rFonts w:asciiTheme="minorHAnsi" w:hAnsiTheme="minorHAnsi" w:cstheme="minorHAnsi"/>
          <w:sz w:val="24"/>
          <w:szCs w:val="24"/>
        </w:rPr>
        <w:t xml:space="preserve">, A. (2018). The effect of corporate social responsibility, profitability, and leverage toward tax aggressiveness with size of company as moderating variable. </w:t>
      </w:r>
      <w:proofErr w:type="spellStart"/>
      <w:r w:rsidRPr="001B1F5F">
        <w:rPr>
          <w:rFonts w:asciiTheme="minorHAnsi" w:hAnsiTheme="minorHAnsi" w:cstheme="minorHAnsi"/>
          <w:i/>
          <w:iCs/>
          <w:sz w:val="24"/>
          <w:szCs w:val="24"/>
        </w:rPr>
        <w:t>Binus</w:t>
      </w:r>
      <w:proofErr w:type="spellEnd"/>
      <w:r w:rsidRPr="001B1F5F">
        <w:rPr>
          <w:rFonts w:asciiTheme="minorHAnsi" w:hAnsiTheme="minorHAnsi" w:cstheme="minorHAnsi"/>
          <w:i/>
          <w:iCs/>
          <w:sz w:val="24"/>
          <w:szCs w:val="24"/>
        </w:rPr>
        <w:t xml:space="preserve"> Business Review</w:t>
      </w:r>
      <w:r w:rsidRPr="001B1F5F">
        <w:rPr>
          <w:rFonts w:asciiTheme="minorHAnsi" w:hAnsiTheme="minorHAnsi" w:cstheme="minorHAnsi"/>
          <w:sz w:val="24"/>
          <w:szCs w:val="24"/>
        </w:rPr>
        <w:t xml:space="preserve"> 9(1), 63-69.</w:t>
      </w:r>
    </w:p>
    <w:p w14:paraId="6F5ED8A1"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Ghozali</w:t>
      </w:r>
      <w:proofErr w:type="spellEnd"/>
      <w:r w:rsidRPr="001B1F5F">
        <w:rPr>
          <w:rFonts w:asciiTheme="minorHAnsi" w:hAnsiTheme="minorHAnsi" w:cstheme="minorHAnsi"/>
          <w:sz w:val="24"/>
          <w:szCs w:val="24"/>
        </w:rPr>
        <w:t xml:space="preserve">, I. (2016). </w:t>
      </w:r>
      <w:proofErr w:type="spellStart"/>
      <w:r w:rsidRPr="001B1F5F">
        <w:rPr>
          <w:rFonts w:asciiTheme="minorHAnsi" w:hAnsiTheme="minorHAnsi" w:cstheme="minorHAnsi"/>
          <w:sz w:val="24"/>
          <w:szCs w:val="24"/>
        </w:rPr>
        <w:t>Aplikasi</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analisis</w:t>
      </w:r>
      <w:proofErr w:type="spellEnd"/>
      <w:r w:rsidRPr="001B1F5F">
        <w:rPr>
          <w:rFonts w:asciiTheme="minorHAnsi" w:hAnsiTheme="minorHAnsi" w:cstheme="minorHAnsi"/>
          <w:sz w:val="24"/>
          <w:szCs w:val="24"/>
        </w:rPr>
        <w:t xml:space="preserve"> multivariate IBM SPSS 23. Semarang: </w:t>
      </w:r>
      <w:proofErr w:type="spellStart"/>
      <w:r w:rsidRPr="001B1F5F">
        <w:rPr>
          <w:rFonts w:asciiTheme="minorHAnsi" w:hAnsiTheme="minorHAnsi" w:cstheme="minorHAnsi"/>
          <w:sz w:val="24"/>
          <w:szCs w:val="24"/>
        </w:rPr>
        <w:t>Universitas</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Diponegoro</w:t>
      </w:r>
      <w:proofErr w:type="spellEnd"/>
      <w:r w:rsidRPr="001B1F5F">
        <w:rPr>
          <w:rFonts w:asciiTheme="minorHAnsi" w:hAnsiTheme="minorHAnsi" w:cstheme="minorHAnsi"/>
          <w:sz w:val="24"/>
          <w:szCs w:val="24"/>
        </w:rPr>
        <w:t>.</w:t>
      </w:r>
    </w:p>
    <w:p w14:paraId="24A97A0C"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Gujarati, D. N. &amp; Porter, D. C. (2009). Basic econometrics (5th ed.). United States of Amerika: McGraw Hill Inc.</w:t>
      </w:r>
    </w:p>
    <w:p w14:paraId="14BBE505"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Hanlon, M. &amp; </w:t>
      </w:r>
      <w:proofErr w:type="spellStart"/>
      <w:r w:rsidRPr="001B1F5F">
        <w:rPr>
          <w:rFonts w:asciiTheme="minorHAnsi" w:hAnsiTheme="minorHAnsi" w:cstheme="minorHAnsi"/>
          <w:sz w:val="24"/>
          <w:szCs w:val="24"/>
        </w:rPr>
        <w:t>Heitzman</w:t>
      </w:r>
      <w:proofErr w:type="spellEnd"/>
      <w:r w:rsidRPr="001B1F5F">
        <w:rPr>
          <w:rFonts w:asciiTheme="minorHAnsi" w:hAnsiTheme="minorHAnsi" w:cstheme="minorHAnsi"/>
          <w:sz w:val="24"/>
          <w:szCs w:val="24"/>
        </w:rPr>
        <w:t xml:space="preserve">, S. (2010). A review of tax research. </w:t>
      </w:r>
      <w:r w:rsidRPr="001B1F5F">
        <w:rPr>
          <w:rFonts w:asciiTheme="minorHAnsi" w:hAnsiTheme="minorHAnsi" w:cstheme="minorHAnsi"/>
          <w:i/>
          <w:iCs/>
          <w:sz w:val="24"/>
          <w:szCs w:val="24"/>
        </w:rPr>
        <w:t>Journal of Accounting and Economics</w:t>
      </w:r>
      <w:r w:rsidRPr="001B1F5F">
        <w:rPr>
          <w:rFonts w:asciiTheme="minorHAnsi" w:hAnsiTheme="minorHAnsi" w:cstheme="minorHAnsi"/>
          <w:sz w:val="24"/>
          <w:szCs w:val="24"/>
        </w:rPr>
        <w:t>, 50(2), 127–178</w:t>
      </w:r>
    </w:p>
    <w:p w14:paraId="074DAF4F"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Hogan, B. &amp; </w:t>
      </w:r>
      <w:proofErr w:type="spellStart"/>
      <w:r w:rsidRPr="001B1F5F">
        <w:rPr>
          <w:rFonts w:asciiTheme="minorHAnsi" w:hAnsiTheme="minorHAnsi" w:cstheme="minorHAnsi"/>
          <w:sz w:val="24"/>
          <w:szCs w:val="24"/>
        </w:rPr>
        <w:t>Noga</w:t>
      </w:r>
      <w:proofErr w:type="spellEnd"/>
      <w:r w:rsidRPr="001B1F5F">
        <w:rPr>
          <w:rFonts w:asciiTheme="minorHAnsi" w:hAnsiTheme="minorHAnsi" w:cstheme="minorHAnsi"/>
          <w:sz w:val="24"/>
          <w:szCs w:val="24"/>
        </w:rPr>
        <w:t xml:space="preserve">, T. (2015). Auditor-provided tax services and long-term tax avoidance. </w:t>
      </w:r>
      <w:r w:rsidRPr="001B1F5F">
        <w:rPr>
          <w:rFonts w:asciiTheme="minorHAnsi" w:hAnsiTheme="minorHAnsi" w:cstheme="minorHAnsi"/>
          <w:i/>
          <w:iCs/>
          <w:sz w:val="24"/>
          <w:szCs w:val="24"/>
        </w:rPr>
        <w:t>Review of Accounting and Finance</w:t>
      </w:r>
      <w:r w:rsidRPr="001B1F5F">
        <w:rPr>
          <w:rFonts w:asciiTheme="minorHAnsi" w:hAnsiTheme="minorHAnsi" w:cstheme="minorHAnsi"/>
          <w:sz w:val="24"/>
          <w:szCs w:val="24"/>
        </w:rPr>
        <w:t>, 14(3), 285–305.</w:t>
      </w:r>
    </w:p>
    <w:p w14:paraId="4A4B2FE8"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Hoopes, J. L., </w:t>
      </w:r>
      <w:proofErr w:type="spellStart"/>
      <w:r w:rsidRPr="001B1F5F">
        <w:rPr>
          <w:rFonts w:asciiTheme="minorHAnsi" w:hAnsiTheme="minorHAnsi" w:cstheme="minorHAnsi"/>
          <w:sz w:val="24"/>
          <w:szCs w:val="24"/>
        </w:rPr>
        <w:t>Mescall</w:t>
      </w:r>
      <w:proofErr w:type="spellEnd"/>
      <w:r w:rsidRPr="001B1F5F">
        <w:rPr>
          <w:rFonts w:asciiTheme="minorHAnsi" w:hAnsiTheme="minorHAnsi" w:cstheme="minorHAnsi"/>
          <w:sz w:val="24"/>
          <w:szCs w:val="24"/>
        </w:rPr>
        <w:t xml:space="preserve">, D., &amp; Pittman, J. A. (2012). Do IRS audits deter corporate tax avoidance? </w:t>
      </w:r>
      <w:r w:rsidRPr="001B1F5F">
        <w:rPr>
          <w:rFonts w:asciiTheme="minorHAnsi" w:hAnsiTheme="minorHAnsi" w:cstheme="minorHAnsi"/>
          <w:i/>
          <w:iCs/>
          <w:sz w:val="24"/>
          <w:szCs w:val="24"/>
        </w:rPr>
        <w:t>The Accounting Review</w:t>
      </w:r>
      <w:r w:rsidRPr="001B1F5F">
        <w:rPr>
          <w:rFonts w:asciiTheme="minorHAnsi" w:hAnsiTheme="minorHAnsi" w:cstheme="minorHAnsi"/>
          <w:sz w:val="24"/>
          <w:szCs w:val="24"/>
        </w:rPr>
        <w:t>, 87(5), 1603–1639</w:t>
      </w:r>
    </w:p>
    <w:p w14:paraId="4179B8B0"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Jensen, M. C. &amp; </w:t>
      </w:r>
      <w:proofErr w:type="spellStart"/>
      <w:r w:rsidRPr="001B1F5F">
        <w:rPr>
          <w:rFonts w:asciiTheme="minorHAnsi" w:hAnsiTheme="minorHAnsi" w:cstheme="minorHAnsi"/>
          <w:sz w:val="24"/>
          <w:szCs w:val="24"/>
        </w:rPr>
        <w:t>Meckling</w:t>
      </w:r>
      <w:proofErr w:type="spellEnd"/>
      <w:r w:rsidRPr="001B1F5F">
        <w:rPr>
          <w:rFonts w:asciiTheme="minorHAnsi" w:hAnsiTheme="minorHAnsi" w:cstheme="minorHAnsi"/>
          <w:sz w:val="24"/>
          <w:szCs w:val="24"/>
        </w:rPr>
        <w:t xml:space="preserve">, W. H. (1976). Theory of the firm: Managerial behavior, agency costs and ownership structure. </w:t>
      </w:r>
      <w:r w:rsidRPr="001B1F5F">
        <w:rPr>
          <w:rFonts w:asciiTheme="minorHAnsi" w:hAnsiTheme="minorHAnsi" w:cstheme="minorHAnsi"/>
          <w:i/>
          <w:iCs/>
          <w:sz w:val="24"/>
          <w:szCs w:val="24"/>
        </w:rPr>
        <w:t>Journal of Financial Economics</w:t>
      </w:r>
      <w:r w:rsidRPr="001B1F5F">
        <w:rPr>
          <w:rFonts w:asciiTheme="minorHAnsi" w:hAnsiTheme="minorHAnsi" w:cstheme="minorHAnsi"/>
          <w:sz w:val="24"/>
          <w:szCs w:val="24"/>
        </w:rPr>
        <w:t>, 3, 305–360</w:t>
      </w:r>
    </w:p>
    <w:p w14:paraId="75AF16DE"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Jessica, J. &amp; </w:t>
      </w:r>
      <w:proofErr w:type="spellStart"/>
      <w:r w:rsidRPr="001B1F5F">
        <w:rPr>
          <w:rFonts w:asciiTheme="minorHAnsi" w:hAnsiTheme="minorHAnsi" w:cstheme="minorHAnsi"/>
          <w:sz w:val="24"/>
          <w:szCs w:val="24"/>
        </w:rPr>
        <w:t>Toly</w:t>
      </w:r>
      <w:proofErr w:type="spellEnd"/>
      <w:r w:rsidRPr="001B1F5F">
        <w:rPr>
          <w:rFonts w:asciiTheme="minorHAnsi" w:hAnsiTheme="minorHAnsi" w:cstheme="minorHAnsi"/>
          <w:sz w:val="24"/>
          <w:szCs w:val="24"/>
        </w:rPr>
        <w:t xml:space="preserve">, A. A. (2014). </w:t>
      </w:r>
      <w:proofErr w:type="spellStart"/>
      <w:r w:rsidRPr="001B1F5F">
        <w:rPr>
          <w:rFonts w:asciiTheme="minorHAnsi" w:hAnsiTheme="minorHAnsi" w:cstheme="minorHAnsi"/>
          <w:sz w:val="24"/>
          <w:szCs w:val="24"/>
        </w:rPr>
        <w:t>Pengaruh</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pengungkapan</w:t>
      </w:r>
      <w:proofErr w:type="spellEnd"/>
      <w:r w:rsidRPr="001B1F5F">
        <w:rPr>
          <w:rFonts w:asciiTheme="minorHAnsi" w:hAnsiTheme="minorHAnsi" w:cstheme="minorHAnsi"/>
          <w:sz w:val="24"/>
          <w:szCs w:val="24"/>
        </w:rPr>
        <w:t xml:space="preserve"> corporate social </w:t>
      </w:r>
      <w:proofErr w:type="spellStart"/>
      <w:r w:rsidRPr="001B1F5F">
        <w:rPr>
          <w:rFonts w:asciiTheme="minorHAnsi" w:hAnsiTheme="minorHAnsi" w:cstheme="minorHAnsi"/>
          <w:sz w:val="24"/>
          <w:szCs w:val="24"/>
        </w:rPr>
        <w:t>responsibilty</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terhadap</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agresivitas</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pajak</w:t>
      </w:r>
      <w:proofErr w:type="spellEnd"/>
      <w:r w:rsidRPr="001B1F5F">
        <w:rPr>
          <w:rFonts w:asciiTheme="minorHAnsi" w:hAnsiTheme="minorHAnsi" w:cstheme="minorHAnsi"/>
          <w:sz w:val="24"/>
          <w:szCs w:val="24"/>
        </w:rPr>
        <w:t xml:space="preserve">. </w:t>
      </w:r>
      <w:r w:rsidRPr="001B1F5F">
        <w:rPr>
          <w:rFonts w:asciiTheme="minorHAnsi" w:hAnsiTheme="minorHAnsi" w:cstheme="minorHAnsi"/>
          <w:i/>
          <w:iCs/>
          <w:sz w:val="24"/>
          <w:szCs w:val="24"/>
        </w:rPr>
        <w:t>Tax &amp; Accounting Review</w:t>
      </w:r>
      <w:r w:rsidRPr="001B1F5F">
        <w:rPr>
          <w:rFonts w:asciiTheme="minorHAnsi" w:hAnsiTheme="minorHAnsi" w:cstheme="minorHAnsi"/>
          <w:sz w:val="24"/>
          <w:szCs w:val="24"/>
        </w:rPr>
        <w:t>, 4(1), Article 1</w:t>
      </w:r>
    </w:p>
    <w:p w14:paraId="590D482B"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Klassen, K. J., </w:t>
      </w:r>
      <w:proofErr w:type="spellStart"/>
      <w:r w:rsidRPr="001B1F5F">
        <w:rPr>
          <w:rFonts w:asciiTheme="minorHAnsi" w:hAnsiTheme="minorHAnsi" w:cstheme="minorHAnsi"/>
          <w:sz w:val="24"/>
          <w:szCs w:val="24"/>
        </w:rPr>
        <w:t>Lisowsky</w:t>
      </w:r>
      <w:proofErr w:type="spellEnd"/>
      <w:r w:rsidRPr="001B1F5F">
        <w:rPr>
          <w:rFonts w:asciiTheme="minorHAnsi" w:hAnsiTheme="minorHAnsi" w:cstheme="minorHAnsi"/>
          <w:sz w:val="24"/>
          <w:szCs w:val="24"/>
        </w:rPr>
        <w:t xml:space="preserve">, P., &amp; </w:t>
      </w:r>
      <w:proofErr w:type="spellStart"/>
      <w:r w:rsidRPr="001B1F5F">
        <w:rPr>
          <w:rFonts w:asciiTheme="minorHAnsi" w:hAnsiTheme="minorHAnsi" w:cstheme="minorHAnsi"/>
          <w:sz w:val="24"/>
          <w:szCs w:val="24"/>
        </w:rPr>
        <w:t>Mescall</w:t>
      </w:r>
      <w:proofErr w:type="spellEnd"/>
      <w:r w:rsidRPr="001B1F5F">
        <w:rPr>
          <w:rFonts w:asciiTheme="minorHAnsi" w:hAnsiTheme="minorHAnsi" w:cstheme="minorHAnsi"/>
          <w:sz w:val="24"/>
          <w:szCs w:val="24"/>
        </w:rPr>
        <w:t xml:space="preserve">, D. (2016). The role of auditors, non-auditors, and internal tax departments in corporate tax aggressiveness. </w:t>
      </w:r>
      <w:r w:rsidRPr="001B1F5F">
        <w:rPr>
          <w:rFonts w:asciiTheme="minorHAnsi" w:hAnsiTheme="minorHAnsi" w:cstheme="minorHAnsi"/>
          <w:i/>
          <w:iCs/>
          <w:sz w:val="24"/>
          <w:szCs w:val="24"/>
        </w:rPr>
        <w:t>The Accounting Review</w:t>
      </w:r>
      <w:r w:rsidRPr="001B1F5F">
        <w:rPr>
          <w:rFonts w:asciiTheme="minorHAnsi" w:hAnsiTheme="minorHAnsi" w:cstheme="minorHAnsi"/>
          <w:sz w:val="24"/>
          <w:szCs w:val="24"/>
        </w:rPr>
        <w:t>, 91(1), 179–205.</w:t>
      </w:r>
    </w:p>
    <w:p w14:paraId="080EEC30" w14:textId="7BC494D7"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Maraya</w:t>
      </w:r>
      <w:proofErr w:type="spellEnd"/>
      <w:r w:rsidRPr="001B1F5F">
        <w:rPr>
          <w:rFonts w:asciiTheme="minorHAnsi" w:hAnsiTheme="minorHAnsi" w:cstheme="minorHAnsi"/>
          <w:sz w:val="24"/>
          <w:szCs w:val="24"/>
        </w:rPr>
        <w:t xml:space="preserve">, A. D. &amp; </w:t>
      </w:r>
      <w:proofErr w:type="spellStart"/>
      <w:r w:rsidRPr="001B1F5F">
        <w:rPr>
          <w:rFonts w:asciiTheme="minorHAnsi" w:hAnsiTheme="minorHAnsi" w:cstheme="minorHAnsi"/>
          <w:sz w:val="24"/>
          <w:szCs w:val="24"/>
        </w:rPr>
        <w:t>Yendrawati</w:t>
      </w:r>
      <w:proofErr w:type="spellEnd"/>
      <w:r w:rsidRPr="001B1F5F">
        <w:rPr>
          <w:rFonts w:asciiTheme="minorHAnsi" w:hAnsiTheme="minorHAnsi" w:cstheme="minorHAnsi"/>
          <w:sz w:val="24"/>
          <w:szCs w:val="24"/>
        </w:rPr>
        <w:t xml:space="preserve">, R. (2016). </w:t>
      </w:r>
      <w:proofErr w:type="spellStart"/>
      <w:r w:rsidRPr="001B1F5F">
        <w:rPr>
          <w:rFonts w:asciiTheme="minorHAnsi" w:hAnsiTheme="minorHAnsi" w:cstheme="minorHAnsi"/>
          <w:sz w:val="24"/>
          <w:szCs w:val="24"/>
        </w:rPr>
        <w:t>Pengaruh</w:t>
      </w:r>
      <w:proofErr w:type="spellEnd"/>
      <w:r w:rsidRPr="001B1F5F">
        <w:rPr>
          <w:rFonts w:asciiTheme="minorHAnsi" w:hAnsiTheme="minorHAnsi" w:cstheme="minorHAnsi"/>
          <w:sz w:val="24"/>
          <w:szCs w:val="24"/>
        </w:rPr>
        <w:t xml:space="preserve"> corporate governance dan corporate social responsibility disclosure </w:t>
      </w:r>
      <w:proofErr w:type="spellStart"/>
      <w:r w:rsidRPr="001B1F5F">
        <w:rPr>
          <w:rFonts w:asciiTheme="minorHAnsi" w:hAnsiTheme="minorHAnsi" w:cstheme="minorHAnsi"/>
          <w:sz w:val="24"/>
          <w:szCs w:val="24"/>
        </w:rPr>
        <w:t>terhadap</w:t>
      </w:r>
      <w:proofErr w:type="spellEnd"/>
      <w:r w:rsidRPr="001B1F5F">
        <w:rPr>
          <w:rFonts w:asciiTheme="minorHAnsi" w:hAnsiTheme="minorHAnsi" w:cstheme="minorHAnsi"/>
          <w:sz w:val="24"/>
          <w:szCs w:val="24"/>
        </w:rPr>
        <w:t xml:space="preserve"> tax avoidance: </w:t>
      </w:r>
      <w:proofErr w:type="spellStart"/>
      <w:r w:rsidRPr="001B1F5F">
        <w:rPr>
          <w:rFonts w:asciiTheme="minorHAnsi" w:hAnsiTheme="minorHAnsi" w:cstheme="minorHAnsi"/>
          <w:sz w:val="24"/>
          <w:szCs w:val="24"/>
        </w:rPr>
        <w:t>studi</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empiris</w:t>
      </w:r>
      <w:proofErr w:type="spellEnd"/>
      <w:r w:rsidRPr="001B1F5F">
        <w:rPr>
          <w:rFonts w:asciiTheme="minorHAnsi" w:hAnsiTheme="minorHAnsi" w:cstheme="minorHAnsi"/>
          <w:sz w:val="24"/>
          <w:szCs w:val="24"/>
        </w:rPr>
        <w:t xml:space="preserve"> pada </w:t>
      </w:r>
      <w:proofErr w:type="spellStart"/>
      <w:r w:rsidRPr="001B1F5F">
        <w:rPr>
          <w:rFonts w:asciiTheme="minorHAnsi" w:hAnsiTheme="minorHAnsi" w:cstheme="minorHAnsi"/>
          <w:sz w:val="24"/>
          <w:szCs w:val="24"/>
        </w:rPr>
        <w:t>perusahaan</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tambang</w:t>
      </w:r>
      <w:proofErr w:type="spellEnd"/>
      <w:r w:rsidRPr="001B1F5F">
        <w:rPr>
          <w:rFonts w:asciiTheme="minorHAnsi" w:hAnsiTheme="minorHAnsi" w:cstheme="minorHAnsi"/>
          <w:sz w:val="24"/>
          <w:szCs w:val="24"/>
        </w:rPr>
        <w:t xml:space="preserve"> dan </w:t>
      </w:r>
      <w:proofErr w:type="spellStart"/>
      <w:r w:rsidRPr="001B1F5F">
        <w:rPr>
          <w:rFonts w:asciiTheme="minorHAnsi" w:hAnsiTheme="minorHAnsi" w:cstheme="minorHAnsi"/>
          <w:sz w:val="24"/>
          <w:szCs w:val="24"/>
        </w:rPr>
        <w:t>cpo</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i/>
          <w:iCs/>
          <w:sz w:val="24"/>
          <w:szCs w:val="24"/>
        </w:rPr>
        <w:t>Jurnal</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Akuntansi</w:t>
      </w:r>
      <w:proofErr w:type="spellEnd"/>
      <w:r w:rsidRPr="001B1F5F">
        <w:rPr>
          <w:rFonts w:asciiTheme="minorHAnsi" w:hAnsiTheme="minorHAnsi" w:cstheme="minorHAnsi"/>
          <w:i/>
          <w:iCs/>
          <w:sz w:val="24"/>
          <w:szCs w:val="24"/>
        </w:rPr>
        <w:t xml:space="preserve"> </w:t>
      </w:r>
      <w:r w:rsidR="00367936" w:rsidRPr="001B1F5F">
        <w:rPr>
          <w:rFonts w:asciiTheme="minorHAnsi" w:hAnsiTheme="minorHAnsi" w:cstheme="minorHAnsi"/>
          <w:i/>
          <w:iCs/>
          <w:sz w:val="24"/>
          <w:szCs w:val="24"/>
        </w:rPr>
        <w:t>d</w:t>
      </w:r>
      <w:r w:rsidRPr="001B1F5F">
        <w:rPr>
          <w:rFonts w:asciiTheme="minorHAnsi" w:hAnsiTheme="minorHAnsi" w:cstheme="minorHAnsi"/>
          <w:i/>
          <w:iCs/>
          <w:sz w:val="24"/>
          <w:szCs w:val="24"/>
        </w:rPr>
        <w:t>an Auditing Indonesia</w:t>
      </w:r>
      <w:r w:rsidRPr="001B1F5F">
        <w:rPr>
          <w:rFonts w:asciiTheme="minorHAnsi" w:hAnsiTheme="minorHAnsi" w:cstheme="minorHAnsi"/>
          <w:sz w:val="24"/>
          <w:szCs w:val="24"/>
        </w:rPr>
        <w:t>, 20(2), Article 2.</w:t>
      </w:r>
    </w:p>
    <w:p w14:paraId="3F87B405"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McGuire, S. T., Omer, T. C., &amp; Wang, D. (2012). Tax avoidance: does tax-specific industry expertise make a difference? </w:t>
      </w:r>
      <w:r w:rsidRPr="001B1F5F">
        <w:rPr>
          <w:rFonts w:asciiTheme="minorHAnsi" w:hAnsiTheme="minorHAnsi" w:cstheme="minorHAnsi"/>
          <w:i/>
          <w:iCs/>
          <w:sz w:val="24"/>
          <w:szCs w:val="24"/>
        </w:rPr>
        <w:t>The Accounting Review</w:t>
      </w:r>
      <w:r w:rsidRPr="001B1F5F">
        <w:rPr>
          <w:rFonts w:asciiTheme="minorHAnsi" w:hAnsiTheme="minorHAnsi" w:cstheme="minorHAnsi"/>
          <w:sz w:val="24"/>
          <w:szCs w:val="24"/>
        </w:rPr>
        <w:t>, 87(3), 975–1003</w:t>
      </w:r>
    </w:p>
    <w:p w14:paraId="541201B3"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Nurhidayah</w:t>
      </w:r>
      <w:proofErr w:type="spellEnd"/>
      <w:r w:rsidRPr="001B1F5F">
        <w:rPr>
          <w:rFonts w:asciiTheme="minorHAnsi" w:hAnsiTheme="minorHAnsi" w:cstheme="minorHAnsi"/>
          <w:sz w:val="24"/>
          <w:szCs w:val="24"/>
        </w:rPr>
        <w:t xml:space="preserve">, L. I. &amp; </w:t>
      </w:r>
      <w:proofErr w:type="spellStart"/>
      <w:r w:rsidRPr="001B1F5F">
        <w:rPr>
          <w:rFonts w:asciiTheme="minorHAnsi" w:hAnsiTheme="minorHAnsi" w:cstheme="minorHAnsi"/>
          <w:sz w:val="24"/>
          <w:szCs w:val="24"/>
        </w:rPr>
        <w:t>Rahmawati</w:t>
      </w:r>
      <w:proofErr w:type="spellEnd"/>
      <w:r w:rsidRPr="001B1F5F">
        <w:rPr>
          <w:rFonts w:asciiTheme="minorHAnsi" w:hAnsiTheme="minorHAnsi" w:cstheme="minorHAnsi"/>
          <w:sz w:val="24"/>
          <w:szCs w:val="24"/>
        </w:rPr>
        <w:t xml:space="preserve">, I. P. (2022). </w:t>
      </w:r>
      <w:proofErr w:type="spellStart"/>
      <w:r w:rsidRPr="001B1F5F">
        <w:rPr>
          <w:rFonts w:asciiTheme="minorHAnsi" w:hAnsiTheme="minorHAnsi" w:cstheme="minorHAnsi"/>
          <w:sz w:val="24"/>
          <w:szCs w:val="24"/>
        </w:rPr>
        <w:t>Menguak</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praktik</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penghindaran</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pajak</w:t>
      </w:r>
      <w:proofErr w:type="spellEnd"/>
      <w:r w:rsidRPr="001B1F5F">
        <w:rPr>
          <w:rFonts w:asciiTheme="minorHAnsi" w:hAnsiTheme="minorHAnsi" w:cstheme="minorHAnsi"/>
          <w:sz w:val="24"/>
          <w:szCs w:val="24"/>
        </w:rPr>
        <w:t xml:space="preserve"> pada </w:t>
      </w:r>
      <w:proofErr w:type="spellStart"/>
      <w:r w:rsidRPr="001B1F5F">
        <w:rPr>
          <w:rFonts w:asciiTheme="minorHAnsi" w:hAnsiTheme="minorHAnsi" w:cstheme="minorHAnsi"/>
          <w:sz w:val="24"/>
          <w:szCs w:val="24"/>
        </w:rPr>
        <w:t>perusahaan</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nonkeuangan</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i/>
          <w:iCs/>
          <w:sz w:val="24"/>
          <w:szCs w:val="24"/>
        </w:rPr>
        <w:t>Jurnal</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Akuntansi</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Multiparadigma</w:t>
      </w:r>
      <w:proofErr w:type="spellEnd"/>
      <w:r w:rsidRPr="001B1F5F">
        <w:rPr>
          <w:rFonts w:asciiTheme="minorHAnsi" w:hAnsiTheme="minorHAnsi" w:cstheme="minorHAnsi"/>
          <w:sz w:val="24"/>
          <w:szCs w:val="24"/>
        </w:rPr>
        <w:t>, 13(2), Article 2.</w:t>
      </w:r>
    </w:p>
    <w:p w14:paraId="51D820B8" w14:textId="67EE7CFF"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Nurhidayati</w:t>
      </w:r>
      <w:proofErr w:type="spellEnd"/>
      <w:r w:rsidRPr="001B1F5F">
        <w:rPr>
          <w:rFonts w:asciiTheme="minorHAnsi" w:hAnsiTheme="minorHAnsi" w:cstheme="minorHAnsi"/>
          <w:sz w:val="24"/>
          <w:szCs w:val="24"/>
        </w:rPr>
        <w:t xml:space="preserve">, N. &amp; </w:t>
      </w:r>
      <w:proofErr w:type="spellStart"/>
      <w:r w:rsidRPr="001B1F5F">
        <w:rPr>
          <w:rFonts w:asciiTheme="minorHAnsi" w:hAnsiTheme="minorHAnsi" w:cstheme="minorHAnsi"/>
          <w:sz w:val="24"/>
          <w:szCs w:val="24"/>
        </w:rPr>
        <w:t>Fuadillah</w:t>
      </w:r>
      <w:proofErr w:type="spellEnd"/>
      <w:r w:rsidRPr="001B1F5F">
        <w:rPr>
          <w:rFonts w:asciiTheme="minorHAnsi" w:hAnsiTheme="minorHAnsi" w:cstheme="minorHAnsi"/>
          <w:sz w:val="24"/>
          <w:szCs w:val="24"/>
        </w:rPr>
        <w:t xml:space="preserve">, H. (2018). The influence of income shifting incentives towards the tax haven country utilization: case study on the companies listed in </w:t>
      </w:r>
      <w:proofErr w:type="spellStart"/>
      <w:r w:rsidRPr="001B1F5F">
        <w:rPr>
          <w:rFonts w:asciiTheme="minorHAnsi" w:hAnsiTheme="minorHAnsi" w:cstheme="minorHAnsi"/>
          <w:sz w:val="24"/>
          <w:szCs w:val="24"/>
        </w:rPr>
        <w:t>indonesian</w:t>
      </w:r>
      <w:proofErr w:type="spellEnd"/>
      <w:r w:rsidRPr="001B1F5F">
        <w:rPr>
          <w:rFonts w:asciiTheme="minorHAnsi" w:hAnsiTheme="minorHAnsi" w:cstheme="minorHAnsi"/>
          <w:sz w:val="24"/>
          <w:szCs w:val="24"/>
        </w:rPr>
        <w:t xml:space="preserve"> stock exchange. </w:t>
      </w:r>
      <w:proofErr w:type="spellStart"/>
      <w:r w:rsidRPr="001B1F5F">
        <w:rPr>
          <w:rFonts w:asciiTheme="minorHAnsi" w:hAnsiTheme="minorHAnsi" w:cstheme="minorHAnsi"/>
          <w:i/>
          <w:iCs/>
          <w:sz w:val="24"/>
          <w:szCs w:val="24"/>
        </w:rPr>
        <w:t>Jurnal</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Akuntansi</w:t>
      </w:r>
      <w:proofErr w:type="spellEnd"/>
      <w:r w:rsidRPr="001B1F5F">
        <w:rPr>
          <w:rFonts w:asciiTheme="minorHAnsi" w:hAnsiTheme="minorHAnsi" w:cstheme="minorHAnsi"/>
          <w:i/>
          <w:iCs/>
          <w:sz w:val="24"/>
          <w:szCs w:val="24"/>
        </w:rPr>
        <w:t xml:space="preserve"> </w:t>
      </w:r>
      <w:r w:rsidR="00367936" w:rsidRPr="001B1F5F">
        <w:rPr>
          <w:rFonts w:asciiTheme="minorHAnsi" w:hAnsiTheme="minorHAnsi" w:cstheme="minorHAnsi"/>
          <w:i/>
          <w:iCs/>
          <w:sz w:val="24"/>
          <w:szCs w:val="24"/>
        </w:rPr>
        <w:t>d</w:t>
      </w:r>
      <w:r w:rsidRPr="001B1F5F">
        <w:rPr>
          <w:rFonts w:asciiTheme="minorHAnsi" w:hAnsiTheme="minorHAnsi" w:cstheme="minorHAnsi"/>
          <w:i/>
          <w:iCs/>
          <w:sz w:val="24"/>
          <w:szCs w:val="24"/>
        </w:rPr>
        <w:t xml:space="preserve">an </w:t>
      </w:r>
      <w:proofErr w:type="spellStart"/>
      <w:r w:rsidRPr="001B1F5F">
        <w:rPr>
          <w:rFonts w:asciiTheme="minorHAnsi" w:hAnsiTheme="minorHAnsi" w:cstheme="minorHAnsi"/>
          <w:i/>
          <w:iCs/>
          <w:sz w:val="24"/>
          <w:szCs w:val="24"/>
        </w:rPr>
        <w:t>Keuangan</w:t>
      </w:r>
      <w:proofErr w:type="spellEnd"/>
      <w:r w:rsidRPr="001B1F5F">
        <w:rPr>
          <w:rFonts w:asciiTheme="minorHAnsi" w:hAnsiTheme="minorHAnsi" w:cstheme="minorHAnsi"/>
          <w:sz w:val="24"/>
          <w:szCs w:val="24"/>
        </w:rPr>
        <w:t>, 20(1), Article 1.</w:t>
      </w:r>
    </w:p>
    <w:p w14:paraId="6B6C13E0" w14:textId="698BAF5E"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lastRenderedPageBreak/>
        <w:t xml:space="preserve">Park, S. (2018). </w:t>
      </w:r>
      <w:r w:rsidR="001D1F14" w:rsidRPr="001B1F5F">
        <w:rPr>
          <w:rFonts w:asciiTheme="minorHAnsi" w:hAnsiTheme="minorHAnsi" w:cstheme="minorHAnsi"/>
          <w:sz w:val="24"/>
          <w:szCs w:val="24"/>
        </w:rPr>
        <w:t>Related-party</w:t>
      </w:r>
      <w:r w:rsidRPr="001B1F5F">
        <w:rPr>
          <w:rFonts w:asciiTheme="minorHAnsi" w:hAnsiTheme="minorHAnsi" w:cstheme="minorHAnsi"/>
          <w:sz w:val="24"/>
          <w:szCs w:val="24"/>
        </w:rPr>
        <w:t xml:space="preserve"> transactions and tax avoidance of business groups. </w:t>
      </w:r>
      <w:r w:rsidRPr="001B1F5F">
        <w:rPr>
          <w:rFonts w:asciiTheme="minorHAnsi" w:hAnsiTheme="minorHAnsi" w:cstheme="minorHAnsi"/>
          <w:i/>
          <w:iCs/>
          <w:sz w:val="24"/>
          <w:szCs w:val="24"/>
        </w:rPr>
        <w:t>Sustainability</w:t>
      </w:r>
      <w:r w:rsidRPr="001B1F5F">
        <w:rPr>
          <w:rFonts w:asciiTheme="minorHAnsi" w:hAnsiTheme="minorHAnsi" w:cstheme="minorHAnsi"/>
          <w:sz w:val="24"/>
          <w:szCs w:val="24"/>
        </w:rPr>
        <w:t>, 10(10), 3571.</w:t>
      </w:r>
    </w:p>
    <w:p w14:paraId="2C435AD5" w14:textId="4671A575"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Putra, Z. K. P. &amp; </w:t>
      </w:r>
      <w:proofErr w:type="spellStart"/>
      <w:r w:rsidRPr="001B1F5F">
        <w:rPr>
          <w:rFonts w:asciiTheme="minorHAnsi" w:hAnsiTheme="minorHAnsi" w:cstheme="minorHAnsi"/>
          <w:sz w:val="24"/>
          <w:szCs w:val="24"/>
        </w:rPr>
        <w:t>Suhardianto</w:t>
      </w:r>
      <w:proofErr w:type="spellEnd"/>
      <w:r w:rsidRPr="001B1F5F">
        <w:rPr>
          <w:rFonts w:asciiTheme="minorHAnsi" w:hAnsiTheme="minorHAnsi" w:cstheme="minorHAnsi"/>
          <w:sz w:val="24"/>
          <w:szCs w:val="24"/>
        </w:rPr>
        <w:t xml:space="preserve">, N. (2020). The influence of political connection on tax avoidance. </w:t>
      </w:r>
      <w:proofErr w:type="spellStart"/>
      <w:r w:rsidRPr="001B1F5F">
        <w:rPr>
          <w:rFonts w:asciiTheme="minorHAnsi" w:hAnsiTheme="minorHAnsi" w:cstheme="minorHAnsi"/>
          <w:i/>
          <w:iCs/>
          <w:sz w:val="24"/>
          <w:szCs w:val="24"/>
        </w:rPr>
        <w:t>Jurnal</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Akuntansi</w:t>
      </w:r>
      <w:proofErr w:type="spellEnd"/>
      <w:r w:rsidRPr="001B1F5F">
        <w:rPr>
          <w:rFonts w:asciiTheme="minorHAnsi" w:hAnsiTheme="minorHAnsi" w:cstheme="minorHAnsi"/>
          <w:i/>
          <w:iCs/>
          <w:sz w:val="24"/>
          <w:szCs w:val="24"/>
        </w:rPr>
        <w:t xml:space="preserve"> </w:t>
      </w:r>
      <w:r w:rsidR="00367936" w:rsidRPr="001B1F5F">
        <w:rPr>
          <w:rFonts w:asciiTheme="minorHAnsi" w:hAnsiTheme="minorHAnsi" w:cstheme="minorHAnsi"/>
          <w:i/>
          <w:iCs/>
          <w:sz w:val="24"/>
          <w:szCs w:val="24"/>
        </w:rPr>
        <w:t>d</w:t>
      </w:r>
      <w:r w:rsidRPr="001B1F5F">
        <w:rPr>
          <w:rFonts w:asciiTheme="minorHAnsi" w:hAnsiTheme="minorHAnsi" w:cstheme="minorHAnsi"/>
          <w:i/>
          <w:iCs/>
          <w:sz w:val="24"/>
          <w:szCs w:val="24"/>
        </w:rPr>
        <w:t xml:space="preserve">an </w:t>
      </w:r>
      <w:proofErr w:type="spellStart"/>
      <w:r w:rsidRPr="001B1F5F">
        <w:rPr>
          <w:rFonts w:asciiTheme="minorHAnsi" w:hAnsiTheme="minorHAnsi" w:cstheme="minorHAnsi"/>
          <w:i/>
          <w:iCs/>
          <w:sz w:val="24"/>
          <w:szCs w:val="24"/>
        </w:rPr>
        <w:t>Keuangan</w:t>
      </w:r>
      <w:proofErr w:type="spellEnd"/>
      <w:r w:rsidRPr="001B1F5F">
        <w:rPr>
          <w:rFonts w:asciiTheme="minorHAnsi" w:hAnsiTheme="minorHAnsi" w:cstheme="minorHAnsi"/>
          <w:sz w:val="24"/>
          <w:szCs w:val="24"/>
        </w:rPr>
        <w:t>, 22(2), Article 2.</w:t>
      </w:r>
    </w:p>
    <w:p w14:paraId="2F006AEE"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Putri, T. R. F. &amp; </w:t>
      </w:r>
      <w:proofErr w:type="spellStart"/>
      <w:r w:rsidRPr="001B1F5F">
        <w:rPr>
          <w:rFonts w:asciiTheme="minorHAnsi" w:hAnsiTheme="minorHAnsi" w:cstheme="minorHAnsi"/>
          <w:sz w:val="24"/>
          <w:szCs w:val="24"/>
        </w:rPr>
        <w:t>Suryarini</w:t>
      </w:r>
      <w:proofErr w:type="spellEnd"/>
      <w:r w:rsidRPr="001B1F5F">
        <w:rPr>
          <w:rFonts w:asciiTheme="minorHAnsi" w:hAnsiTheme="minorHAnsi" w:cstheme="minorHAnsi"/>
          <w:sz w:val="24"/>
          <w:szCs w:val="24"/>
        </w:rPr>
        <w:t xml:space="preserve">, T. (2017). Factors affecting tax avoidance on manufacturing companies listed on </w:t>
      </w:r>
      <w:proofErr w:type="spellStart"/>
      <w:r w:rsidRPr="001B1F5F">
        <w:rPr>
          <w:rFonts w:asciiTheme="minorHAnsi" w:hAnsiTheme="minorHAnsi" w:cstheme="minorHAnsi"/>
          <w:sz w:val="24"/>
          <w:szCs w:val="24"/>
        </w:rPr>
        <w:t>idx</w:t>
      </w:r>
      <w:proofErr w:type="spellEnd"/>
      <w:r w:rsidRPr="001B1F5F">
        <w:rPr>
          <w:rFonts w:asciiTheme="minorHAnsi" w:hAnsiTheme="minorHAnsi" w:cstheme="minorHAnsi"/>
          <w:sz w:val="24"/>
          <w:szCs w:val="24"/>
        </w:rPr>
        <w:t xml:space="preserve">. </w:t>
      </w:r>
      <w:r w:rsidRPr="001B1F5F">
        <w:rPr>
          <w:rFonts w:asciiTheme="minorHAnsi" w:hAnsiTheme="minorHAnsi" w:cstheme="minorHAnsi"/>
          <w:i/>
          <w:iCs/>
          <w:sz w:val="24"/>
          <w:szCs w:val="24"/>
        </w:rPr>
        <w:t>Accounting Analysis Journal</w:t>
      </w:r>
      <w:r w:rsidRPr="001B1F5F">
        <w:rPr>
          <w:rFonts w:asciiTheme="minorHAnsi" w:hAnsiTheme="minorHAnsi" w:cstheme="minorHAnsi"/>
          <w:sz w:val="24"/>
          <w:szCs w:val="24"/>
        </w:rPr>
        <w:t>, 6(3), Article 3.</w:t>
      </w:r>
    </w:p>
    <w:p w14:paraId="7AE2A9C5" w14:textId="0782457A"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Rezeki</w:t>
      </w:r>
      <w:proofErr w:type="spellEnd"/>
      <w:r w:rsidRPr="001B1F5F">
        <w:rPr>
          <w:rFonts w:asciiTheme="minorHAnsi" w:hAnsiTheme="minorHAnsi" w:cstheme="minorHAnsi"/>
          <w:sz w:val="24"/>
          <w:szCs w:val="24"/>
        </w:rPr>
        <w:t xml:space="preserve">, D. S., </w:t>
      </w:r>
      <w:proofErr w:type="spellStart"/>
      <w:r w:rsidRPr="001B1F5F">
        <w:rPr>
          <w:rFonts w:asciiTheme="minorHAnsi" w:hAnsiTheme="minorHAnsi" w:cstheme="minorHAnsi"/>
          <w:sz w:val="24"/>
          <w:szCs w:val="24"/>
        </w:rPr>
        <w:t>Widarjo</w:t>
      </w:r>
      <w:proofErr w:type="spellEnd"/>
      <w:r w:rsidRPr="001B1F5F">
        <w:rPr>
          <w:rFonts w:asciiTheme="minorHAnsi" w:hAnsiTheme="minorHAnsi" w:cstheme="minorHAnsi"/>
          <w:sz w:val="24"/>
          <w:szCs w:val="24"/>
        </w:rPr>
        <w:t xml:space="preserve">, W., </w:t>
      </w:r>
      <w:proofErr w:type="spellStart"/>
      <w:r w:rsidRPr="001B1F5F">
        <w:rPr>
          <w:rFonts w:asciiTheme="minorHAnsi" w:hAnsiTheme="minorHAnsi" w:cstheme="minorHAnsi"/>
          <w:sz w:val="24"/>
          <w:szCs w:val="24"/>
        </w:rPr>
        <w:t>Sudaryono</w:t>
      </w:r>
      <w:proofErr w:type="spellEnd"/>
      <w:r w:rsidRPr="001B1F5F">
        <w:rPr>
          <w:rFonts w:asciiTheme="minorHAnsi" w:hAnsiTheme="minorHAnsi" w:cstheme="minorHAnsi"/>
          <w:sz w:val="24"/>
          <w:szCs w:val="24"/>
        </w:rPr>
        <w:t xml:space="preserve">, E. A., &amp; </w:t>
      </w:r>
      <w:proofErr w:type="spellStart"/>
      <w:r w:rsidRPr="001B1F5F">
        <w:rPr>
          <w:rFonts w:asciiTheme="minorHAnsi" w:hAnsiTheme="minorHAnsi" w:cstheme="minorHAnsi"/>
          <w:sz w:val="24"/>
          <w:szCs w:val="24"/>
        </w:rPr>
        <w:t>Syafiqurrahman</w:t>
      </w:r>
      <w:proofErr w:type="spellEnd"/>
      <w:r w:rsidRPr="001B1F5F">
        <w:rPr>
          <w:rFonts w:asciiTheme="minorHAnsi" w:hAnsiTheme="minorHAnsi" w:cstheme="minorHAnsi"/>
          <w:sz w:val="24"/>
          <w:szCs w:val="24"/>
        </w:rPr>
        <w:t xml:space="preserve">, M. (2021). </w:t>
      </w:r>
      <w:r w:rsidR="001D1F14" w:rsidRPr="001B1F5F">
        <w:rPr>
          <w:rFonts w:asciiTheme="minorHAnsi" w:hAnsiTheme="minorHAnsi" w:cstheme="minorHAnsi"/>
          <w:sz w:val="24"/>
          <w:szCs w:val="24"/>
        </w:rPr>
        <w:t>Related-party</w:t>
      </w:r>
      <w:r w:rsidRPr="001B1F5F">
        <w:rPr>
          <w:rFonts w:asciiTheme="minorHAnsi" w:hAnsiTheme="minorHAnsi" w:cstheme="minorHAnsi"/>
          <w:sz w:val="24"/>
          <w:szCs w:val="24"/>
        </w:rPr>
        <w:t xml:space="preserve"> transactions and tax avoidance: study on mining company in </w:t>
      </w:r>
      <w:proofErr w:type="spellStart"/>
      <w:r w:rsidRPr="001B1F5F">
        <w:rPr>
          <w:rFonts w:asciiTheme="minorHAnsi" w:hAnsiTheme="minorHAnsi" w:cstheme="minorHAnsi"/>
          <w:sz w:val="24"/>
          <w:szCs w:val="24"/>
        </w:rPr>
        <w:t>indonesia</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i/>
          <w:iCs/>
          <w:sz w:val="24"/>
          <w:szCs w:val="24"/>
        </w:rPr>
        <w:t>Jurnal</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Akuntansi</w:t>
      </w:r>
      <w:proofErr w:type="spellEnd"/>
      <w:r w:rsidRPr="001B1F5F">
        <w:rPr>
          <w:rFonts w:asciiTheme="minorHAnsi" w:hAnsiTheme="minorHAnsi" w:cstheme="minorHAnsi"/>
          <w:i/>
          <w:iCs/>
          <w:sz w:val="24"/>
          <w:szCs w:val="24"/>
        </w:rPr>
        <w:t xml:space="preserve"> </w:t>
      </w:r>
      <w:r w:rsidR="00367936" w:rsidRPr="001B1F5F">
        <w:rPr>
          <w:rFonts w:asciiTheme="minorHAnsi" w:hAnsiTheme="minorHAnsi" w:cstheme="minorHAnsi"/>
          <w:i/>
          <w:iCs/>
          <w:sz w:val="24"/>
          <w:szCs w:val="24"/>
        </w:rPr>
        <w:t>d</w:t>
      </w:r>
      <w:r w:rsidRPr="001B1F5F">
        <w:rPr>
          <w:rFonts w:asciiTheme="minorHAnsi" w:hAnsiTheme="minorHAnsi" w:cstheme="minorHAnsi"/>
          <w:i/>
          <w:iCs/>
          <w:sz w:val="24"/>
          <w:szCs w:val="24"/>
        </w:rPr>
        <w:t xml:space="preserve">an </w:t>
      </w:r>
      <w:proofErr w:type="spellStart"/>
      <w:r w:rsidRPr="001B1F5F">
        <w:rPr>
          <w:rFonts w:asciiTheme="minorHAnsi" w:hAnsiTheme="minorHAnsi" w:cstheme="minorHAnsi"/>
          <w:i/>
          <w:iCs/>
          <w:sz w:val="24"/>
          <w:szCs w:val="24"/>
        </w:rPr>
        <w:t>Bisnis</w:t>
      </w:r>
      <w:proofErr w:type="spellEnd"/>
      <w:r w:rsidRPr="001B1F5F">
        <w:rPr>
          <w:rFonts w:asciiTheme="minorHAnsi" w:hAnsiTheme="minorHAnsi" w:cstheme="minorHAnsi"/>
          <w:sz w:val="24"/>
          <w:szCs w:val="24"/>
        </w:rPr>
        <w:t>, 21(2), Article 2.</w:t>
      </w:r>
    </w:p>
    <w:p w14:paraId="6497EE70"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Richardson, G., Taylor, G., &amp; </w:t>
      </w:r>
      <w:proofErr w:type="spellStart"/>
      <w:r w:rsidRPr="001B1F5F">
        <w:rPr>
          <w:rFonts w:asciiTheme="minorHAnsi" w:hAnsiTheme="minorHAnsi" w:cstheme="minorHAnsi"/>
          <w:sz w:val="24"/>
          <w:szCs w:val="24"/>
        </w:rPr>
        <w:t>Lanis</w:t>
      </w:r>
      <w:proofErr w:type="spellEnd"/>
      <w:r w:rsidRPr="001B1F5F">
        <w:rPr>
          <w:rFonts w:asciiTheme="minorHAnsi" w:hAnsiTheme="minorHAnsi" w:cstheme="minorHAnsi"/>
          <w:sz w:val="24"/>
          <w:szCs w:val="24"/>
        </w:rPr>
        <w:t xml:space="preserve">, R. (2013). The impact of board of director oversight characteristics on corporate tax aggressiveness: An empirical analysis. </w:t>
      </w:r>
      <w:r w:rsidRPr="001B1F5F">
        <w:rPr>
          <w:rFonts w:asciiTheme="minorHAnsi" w:hAnsiTheme="minorHAnsi" w:cstheme="minorHAnsi"/>
          <w:i/>
          <w:iCs/>
          <w:sz w:val="24"/>
          <w:szCs w:val="24"/>
        </w:rPr>
        <w:t>Journal of Accounting and Public Policy</w:t>
      </w:r>
      <w:r w:rsidRPr="001B1F5F">
        <w:rPr>
          <w:rFonts w:asciiTheme="minorHAnsi" w:hAnsiTheme="minorHAnsi" w:cstheme="minorHAnsi"/>
          <w:sz w:val="24"/>
          <w:szCs w:val="24"/>
        </w:rPr>
        <w:t>, 32(3), 68–88.</w:t>
      </w:r>
    </w:p>
    <w:p w14:paraId="33A332E7"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Salihu</w:t>
      </w:r>
      <w:proofErr w:type="spellEnd"/>
      <w:r w:rsidRPr="001B1F5F">
        <w:rPr>
          <w:rFonts w:asciiTheme="minorHAnsi" w:hAnsiTheme="minorHAnsi" w:cstheme="minorHAnsi"/>
          <w:sz w:val="24"/>
          <w:szCs w:val="24"/>
        </w:rPr>
        <w:t xml:space="preserve">, I. A., </w:t>
      </w:r>
      <w:proofErr w:type="spellStart"/>
      <w:r w:rsidRPr="001B1F5F">
        <w:rPr>
          <w:rFonts w:asciiTheme="minorHAnsi" w:hAnsiTheme="minorHAnsi" w:cstheme="minorHAnsi"/>
          <w:sz w:val="24"/>
          <w:szCs w:val="24"/>
        </w:rPr>
        <w:t>Obid</w:t>
      </w:r>
      <w:proofErr w:type="spellEnd"/>
      <w:r w:rsidRPr="001B1F5F">
        <w:rPr>
          <w:rFonts w:asciiTheme="minorHAnsi" w:hAnsiTheme="minorHAnsi" w:cstheme="minorHAnsi"/>
          <w:sz w:val="24"/>
          <w:szCs w:val="24"/>
        </w:rPr>
        <w:t xml:space="preserve">, S. N., &amp; </w:t>
      </w:r>
      <w:proofErr w:type="spellStart"/>
      <w:r w:rsidRPr="001B1F5F">
        <w:rPr>
          <w:rFonts w:asciiTheme="minorHAnsi" w:hAnsiTheme="minorHAnsi" w:cstheme="minorHAnsi"/>
          <w:sz w:val="24"/>
          <w:szCs w:val="24"/>
        </w:rPr>
        <w:t>Annuar</w:t>
      </w:r>
      <w:proofErr w:type="spellEnd"/>
      <w:r w:rsidRPr="001B1F5F">
        <w:rPr>
          <w:rFonts w:asciiTheme="minorHAnsi" w:hAnsiTheme="minorHAnsi" w:cstheme="minorHAnsi"/>
          <w:sz w:val="24"/>
          <w:szCs w:val="24"/>
        </w:rPr>
        <w:t xml:space="preserve">, H. A. (2013). Measures of corporate tax audit: Empirical evidence from an emerging economy. </w:t>
      </w:r>
      <w:r w:rsidRPr="001B1F5F">
        <w:rPr>
          <w:rFonts w:asciiTheme="minorHAnsi" w:hAnsiTheme="minorHAnsi" w:cstheme="minorHAnsi"/>
          <w:i/>
          <w:iCs/>
          <w:sz w:val="24"/>
          <w:szCs w:val="24"/>
        </w:rPr>
        <w:t>International Journal of Business and Society</w:t>
      </w:r>
      <w:r w:rsidRPr="001B1F5F">
        <w:rPr>
          <w:rFonts w:asciiTheme="minorHAnsi" w:hAnsiTheme="minorHAnsi" w:cstheme="minorHAnsi"/>
          <w:sz w:val="24"/>
          <w:szCs w:val="24"/>
        </w:rPr>
        <w:t>,14(3), 412 - 427</w:t>
      </w:r>
    </w:p>
    <w:p w14:paraId="16E49732" w14:textId="2F065444"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Sandy, S. &amp; </w:t>
      </w:r>
      <w:proofErr w:type="spellStart"/>
      <w:r w:rsidRPr="001B1F5F">
        <w:rPr>
          <w:rFonts w:asciiTheme="minorHAnsi" w:hAnsiTheme="minorHAnsi" w:cstheme="minorHAnsi"/>
          <w:sz w:val="24"/>
          <w:szCs w:val="24"/>
        </w:rPr>
        <w:t>Lukviarman</w:t>
      </w:r>
      <w:proofErr w:type="spellEnd"/>
      <w:r w:rsidRPr="001B1F5F">
        <w:rPr>
          <w:rFonts w:asciiTheme="minorHAnsi" w:hAnsiTheme="minorHAnsi" w:cstheme="minorHAnsi"/>
          <w:sz w:val="24"/>
          <w:szCs w:val="24"/>
        </w:rPr>
        <w:t xml:space="preserve">, N. (2015). </w:t>
      </w:r>
      <w:proofErr w:type="spellStart"/>
      <w:r w:rsidRPr="001B1F5F">
        <w:rPr>
          <w:rFonts w:asciiTheme="minorHAnsi" w:hAnsiTheme="minorHAnsi" w:cstheme="minorHAnsi"/>
          <w:sz w:val="24"/>
          <w:szCs w:val="24"/>
        </w:rPr>
        <w:t>Pengaruh</w:t>
      </w:r>
      <w:proofErr w:type="spellEnd"/>
      <w:r w:rsidRPr="001B1F5F">
        <w:rPr>
          <w:rFonts w:asciiTheme="minorHAnsi" w:hAnsiTheme="minorHAnsi" w:cstheme="minorHAnsi"/>
          <w:sz w:val="24"/>
          <w:szCs w:val="24"/>
        </w:rPr>
        <w:t xml:space="preserve"> corporate governance </w:t>
      </w:r>
      <w:proofErr w:type="spellStart"/>
      <w:r w:rsidRPr="001B1F5F">
        <w:rPr>
          <w:rFonts w:asciiTheme="minorHAnsi" w:hAnsiTheme="minorHAnsi" w:cstheme="minorHAnsi"/>
          <w:sz w:val="24"/>
          <w:szCs w:val="24"/>
        </w:rPr>
        <w:t>terhadap</w:t>
      </w:r>
      <w:proofErr w:type="spellEnd"/>
      <w:r w:rsidRPr="001B1F5F">
        <w:rPr>
          <w:rFonts w:asciiTheme="minorHAnsi" w:hAnsiTheme="minorHAnsi" w:cstheme="minorHAnsi"/>
          <w:sz w:val="24"/>
          <w:szCs w:val="24"/>
        </w:rPr>
        <w:t xml:space="preserve"> tax avoidance: </w:t>
      </w:r>
      <w:proofErr w:type="spellStart"/>
      <w:r w:rsidRPr="001B1F5F">
        <w:rPr>
          <w:rFonts w:asciiTheme="minorHAnsi" w:hAnsiTheme="minorHAnsi" w:cstheme="minorHAnsi"/>
          <w:sz w:val="24"/>
          <w:szCs w:val="24"/>
        </w:rPr>
        <w:t>Studi</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empiris</w:t>
      </w:r>
      <w:proofErr w:type="spellEnd"/>
      <w:r w:rsidRPr="001B1F5F">
        <w:rPr>
          <w:rFonts w:asciiTheme="minorHAnsi" w:hAnsiTheme="minorHAnsi" w:cstheme="minorHAnsi"/>
          <w:sz w:val="24"/>
          <w:szCs w:val="24"/>
        </w:rPr>
        <w:t xml:space="preserve"> pada </w:t>
      </w:r>
      <w:proofErr w:type="spellStart"/>
      <w:r w:rsidRPr="001B1F5F">
        <w:rPr>
          <w:rFonts w:asciiTheme="minorHAnsi" w:hAnsiTheme="minorHAnsi" w:cstheme="minorHAnsi"/>
          <w:sz w:val="24"/>
          <w:szCs w:val="24"/>
        </w:rPr>
        <w:t>perusahaan</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manufaktur</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i/>
          <w:iCs/>
          <w:sz w:val="24"/>
          <w:szCs w:val="24"/>
        </w:rPr>
        <w:t>Jurnal</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Akuntansi</w:t>
      </w:r>
      <w:proofErr w:type="spellEnd"/>
      <w:r w:rsidRPr="001B1F5F">
        <w:rPr>
          <w:rFonts w:asciiTheme="minorHAnsi" w:hAnsiTheme="minorHAnsi" w:cstheme="minorHAnsi"/>
          <w:i/>
          <w:iCs/>
          <w:sz w:val="24"/>
          <w:szCs w:val="24"/>
        </w:rPr>
        <w:t xml:space="preserve"> </w:t>
      </w:r>
      <w:r w:rsidR="00367936" w:rsidRPr="001B1F5F">
        <w:rPr>
          <w:rFonts w:asciiTheme="minorHAnsi" w:hAnsiTheme="minorHAnsi" w:cstheme="minorHAnsi"/>
          <w:i/>
          <w:iCs/>
          <w:sz w:val="24"/>
          <w:szCs w:val="24"/>
        </w:rPr>
        <w:t>d</w:t>
      </w:r>
      <w:r w:rsidRPr="001B1F5F">
        <w:rPr>
          <w:rFonts w:asciiTheme="minorHAnsi" w:hAnsiTheme="minorHAnsi" w:cstheme="minorHAnsi"/>
          <w:i/>
          <w:iCs/>
          <w:sz w:val="24"/>
          <w:szCs w:val="24"/>
        </w:rPr>
        <w:t>an Auditing Indonesia</w:t>
      </w:r>
      <w:r w:rsidRPr="001B1F5F">
        <w:rPr>
          <w:rFonts w:asciiTheme="minorHAnsi" w:hAnsiTheme="minorHAnsi" w:cstheme="minorHAnsi"/>
          <w:sz w:val="24"/>
          <w:szCs w:val="24"/>
        </w:rPr>
        <w:t>, 19(2), Article 2.</w:t>
      </w:r>
    </w:p>
    <w:p w14:paraId="5A891362"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Santos, L. P. G. dos, Soares, P. A., Freitas, S. C. de, &amp; Dias, J. M. (2021). The influence of tax services provided by auditors on tax avoidance: Evidence from Brazil. </w:t>
      </w:r>
      <w:proofErr w:type="spellStart"/>
      <w:r w:rsidRPr="001B1F5F">
        <w:rPr>
          <w:rFonts w:asciiTheme="minorHAnsi" w:hAnsiTheme="minorHAnsi" w:cstheme="minorHAnsi"/>
          <w:i/>
          <w:iCs/>
          <w:sz w:val="24"/>
          <w:szCs w:val="24"/>
        </w:rPr>
        <w:t>Revista</w:t>
      </w:r>
      <w:proofErr w:type="spellEnd"/>
      <w:r w:rsidRPr="001B1F5F">
        <w:rPr>
          <w:rFonts w:asciiTheme="minorHAnsi" w:hAnsiTheme="minorHAnsi" w:cstheme="minorHAnsi"/>
          <w:i/>
          <w:iCs/>
          <w:sz w:val="24"/>
          <w:szCs w:val="24"/>
        </w:rPr>
        <w:t xml:space="preserve"> de </w:t>
      </w:r>
      <w:proofErr w:type="spellStart"/>
      <w:r w:rsidRPr="001B1F5F">
        <w:rPr>
          <w:rFonts w:asciiTheme="minorHAnsi" w:hAnsiTheme="minorHAnsi" w:cstheme="minorHAnsi"/>
          <w:i/>
          <w:iCs/>
          <w:sz w:val="24"/>
          <w:szCs w:val="24"/>
        </w:rPr>
        <w:t>Contabilidade</w:t>
      </w:r>
      <w:proofErr w:type="spellEnd"/>
      <w:r w:rsidRPr="001B1F5F">
        <w:rPr>
          <w:rFonts w:asciiTheme="minorHAnsi" w:hAnsiTheme="minorHAnsi" w:cstheme="minorHAnsi"/>
          <w:i/>
          <w:iCs/>
          <w:sz w:val="24"/>
          <w:szCs w:val="24"/>
        </w:rPr>
        <w:t xml:space="preserve"> e </w:t>
      </w:r>
      <w:proofErr w:type="spellStart"/>
      <w:r w:rsidRPr="001B1F5F">
        <w:rPr>
          <w:rFonts w:asciiTheme="minorHAnsi" w:hAnsiTheme="minorHAnsi" w:cstheme="minorHAnsi"/>
          <w:i/>
          <w:iCs/>
          <w:sz w:val="24"/>
          <w:szCs w:val="24"/>
        </w:rPr>
        <w:t>Organizações</w:t>
      </w:r>
      <w:proofErr w:type="spellEnd"/>
      <w:r w:rsidRPr="001B1F5F">
        <w:rPr>
          <w:rFonts w:asciiTheme="minorHAnsi" w:hAnsiTheme="minorHAnsi" w:cstheme="minorHAnsi"/>
          <w:sz w:val="24"/>
          <w:szCs w:val="24"/>
        </w:rPr>
        <w:t>, 15.</w:t>
      </w:r>
    </w:p>
    <w:p w14:paraId="57B9759C"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Sari, D., Utama, S., </w:t>
      </w:r>
      <w:proofErr w:type="spellStart"/>
      <w:r w:rsidRPr="001B1F5F">
        <w:rPr>
          <w:rFonts w:asciiTheme="minorHAnsi" w:hAnsiTheme="minorHAnsi" w:cstheme="minorHAnsi"/>
          <w:sz w:val="24"/>
          <w:szCs w:val="24"/>
        </w:rPr>
        <w:t>Fitriany</w:t>
      </w:r>
      <w:proofErr w:type="spellEnd"/>
      <w:r w:rsidRPr="001B1F5F">
        <w:rPr>
          <w:rFonts w:asciiTheme="minorHAnsi" w:hAnsiTheme="minorHAnsi" w:cstheme="minorHAnsi"/>
          <w:sz w:val="24"/>
          <w:szCs w:val="24"/>
        </w:rPr>
        <w:t xml:space="preserve">, &amp; </w:t>
      </w:r>
      <w:proofErr w:type="spellStart"/>
      <w:r w:rsidRPr="001B1F5F">
        <w:rPr>
          <w:rFonts w:asciiTheme="minorHAnsi" w:hAnsiTheme="minorHAnsi" w:cstheme="minorHAnsi"/>
          <w:sz w:val="24"/>
          <w:szCs w:val="24"/>
        </w:rPr>
        <w:t>Rahayu</w:t>
      </w:r>
      <w:proofErr w:type="spellEnd"/>
      <w:r w:rsidRPr="001B1F5F">
        <w:rPr>
          <w:rFonts w:asciiTheme="minorHAnsi" w:hAnsiTheme="minorHAnsi" w:cstheme="minorHAnsi"/>
          <w:sz w:val="24"/>
          <w:szCs w:val="24"/>
        </w:rPr>
        <w:t xml:space="preserve">, N. (2020). Transfer pricing practices and specific anti-avoidance rules in Asian developing countries. </w:t>
      </w:r>
      <w:r w:rsidRPr="001B1F5F">
        <w:rPr>
          <w:rFonts w:asciiTheme="minorHAnsi" w:hAnsiTheme="minorHAnsi" w:cstheme="minorHAnsi"/>
          <w:i/>
          <w:iCs/>
          <w:sz w:val="24"/>
          <w:szCs w:val="24"/>
        </w:rPr>
        <w:t>International Journal of Emerging Markets</w:t>
      </w:r>
      <w:r w:rsidRPr="001B1F5F">
        <w:rPr>
          <w:rFonts w:asciiTheme="minorHAnsi" w:hAnsiTheme="minorHAnsi" w:cstheme="minorHAnsi"/>
          <w:sz w:val="24"/>
          <w:szCs w:val="24"/>
        </w:rPr>
        <w:t>, 16(3), 492–516.</w:t>
      </w:r>
    </w:p>
    <w:p w14:paraId="00E1C7CE" w14:textId="1F603A0B"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Satyadini</w:t>
      </w:r>
      <w:proofErr w:type="spellEnd"/>
      <w:r w:rsidRPr="001B1F5F">
        <w:rPr>
          <w:rFonts w:asciiTheme="minorHAnsi" w:hAnsiTheme="minorHAnsi" w:cstheme="minorHAnsi"/>
          <w:sz w:val="24"/>
          <w:szCs w:val="24"/>
        </w:rPr>
        <w:t xml:space="preserve">, A. E. (2018). Empirical approach of tax avoidance risk assessment. </w:t>
      </w:r>
      <w:r w:rsidRPr="001B1F5F">
        <w:rPr>
          <w:rFonts w:asciiTheme="minorHAnsi" w:hAnsiTheme="minorHAnsi" w:cstheme="minorHAnsi"/>
          <w:i/>
          <w:iCs/>
          <w:sz w:val="24"/>
          <w:szCs w:val="24"/>
        </w:rPr>
        <w:t xml:space="preserve">Kajian </w:t>
      </w:r>
      <w:proofErr w:type="spellStart"/>
      <w:r w:rsidRPr="001B1F5F">
        <w:rPr>
          <w:rFonts w:asciiTheme="minorHAnsi" w:hAnsiTheme="minorHAnsi" w:cstheme="minorHAnsi"/>
          <w:i/>
          <w:iCs/>
          <w:sz w:val="24"/>
          <w:szCs w:val="24"/>
        </w:rPr>
        <w:t>Ekonomi</w:t>
      </w:r>
      <w:proofErr w:type="spellEnd"/>
      <w:r w:rsidRPr="001B1F5F">
        <w:rPr>
          <w:rFonts w:asciiTheme="minorHAnsi" w:hAnsiTheme="minorHAnsi" w:cstheme="minorHAnsi"/>
          <w:i/>
          <w:iCs/>
          <w:sz w:val="24"/>
          <w:szCs w:val="24"/>
        </w:rPr>
        <w:t xml:space="preserve"> </w:t>
      </w:r>
      <w:r w:rsidR="00367936" w:rsidRPr="001B1F5F">
        <w:rPr>
          <w:rFonts w:asciiTheme="minorHAnsi" w:hAnsiTheme="minorHAnsi" w:cstheme="minorHAnsi"/>
          <w:i/>
          <w:iCs/>
          <w:sz w:val="24"/>
          <w:szCs w:val="24"/>
        </w:rPr>
        <w:t>d</w:t>
      </w:r>
      <w:r w:rsidRPr="001B1F5F">
        <w:rPr>
          <w:rFonts w:asciiTheme="minorHAnsi" w:hAnsiTheme="minorHAnsi" w:cstheme="minorHAnsi"/>
          <w:i/>
          <w:iCs/>
          <w:sz w:val="24"/>
          <w:szCs w:val="24"/>
        </w:rPr>
        <w:t xml:space="preserve">an </w:t>
      </w:r>
      <w:proofErr w:type="spellStart"/>
      <w:r w:rsidRPr="001B1F5F">
        <w:rPr>
          <w:rFonts w:asciiTheme="minorHAnsi" w:hAnsiTheme="minorHAnsi" w:cstheme="minorHAnsi"/>
          <w:i/>
          <w:iCs/>
          <w:sz w:val="24"/>
          <w:szCs w:val="24"/>
        </w:rPr>
        <w:t>Keuangan</w:t>
      </w:r>
      <w:proofErr w:type="spellEnd"/>
      <w:r w:rsidRPr="001B1F5F">
        <w:rPr>
          <w:rFonts w:asciiTheme="minorHAnsi" w:hAnsiTheme="minorHAnsi" w:cstheme="minorHAnsi"/>
          <w:sz w:val="24"/>
          <w:szCs w:val="24"/>
        </w:rPr>
        <w:t>, 2(1), Article 1.</w:t>
      </w:r>
    </w:p>
    <w:p w14:paraId="70BACD0D"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Sekaran, U. (2013). </w:t>
      </w:r>
      <w:proofErr w:type="spellStart"/>
      <w:r w:rsidRPr="001B1F5F">
        <w:rPr>
          <w:rFonts w:asciiTheme="minorHAnsi" w:hAnsiTheme="minorHAnsi" w:cstheme="minorHAnsi"/>
          <w:sz w:val="24"/>
          <w:szCs w:val="24"/>
        </w:rPr>
        <w:t>Metodologi</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penelitian</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untuk</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bisnis</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Edisi</w:t>
      </w:r>
      <w:proofErr w:type="spellEnd"/>
      <w:r w:rsidRPr="001B1F5F">
        <w:rPr>
          <w:rFonts w:asciiTheme="minorHAnsi" w:hAnsiTheme="minorHAnsi" w:cstheme="minorHAnsi"/>
          <w:sz w:val="24"/>
          <w:szCs w:val="24"/>
        </w:rPr>
        <w:t xml:space="preserve"> V. Jakarta: </w:t>
      </w:r>
      <w:proofErr w:type="spellStart"/>
      <w:r w:rsidRPr="001B1F5F">
        <w:rPr>
          <w:rFonts w:asciiTheme="minorHAnsi" w:hAnsiTheme="minorHAnsi" w:cstheme="minorHAnsi"/>
          <w:sz w:val="24"/>
          <w:szCs w:val="24"/>
        </w:rPr>
        <w:t>Salemba</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Empat</w:t>
      </w:r>
      <w:proofErr w:type="spellEnd"/>
      <w:r w:rsidRPr="001B1F5F">
        <w:rPr>
          <w:rFonts w:asciiTheme="minorHAnsi" w:hAnsiTheme="minorHAnsi" w:cstheme="minorHAnsi"/>
          <w:sz w:val="24"/>
          <w:szCs w:val="24"/>
        </w:rPr>
        <w:t xml:space="preserve">. </w:t>
      </w:r>
    </w:p>
    <w:p w14:paraId="495953CD"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Shackelford, D. A. &amp; Shevlin, T. (2001). Empirical tax research in accounting. </w:t>
      </w:r>
      <w:r w:rsidRPr="001B1F5F">
        <w:rPr>
          <w:rFonts w:asciiTheme="minorHAnsi" w:hAnsiTheme="minorHAnsi" w:cstheme="minorHAnsi"/>
          <w:i/>
          <w:iCs/>
          <w:sz w:val="24"/>
          <w:szCs w:val="24"/>
        </w:rPr>
        <w:t>Journal of Accounting and Economics</w:t>
      </w:r>
      <w:r w:rsidRPr="001B1F5F">
        <w:rPr>
          <w:rFonts w:asciiTheme="minorHAnsi" w:hAnsiTheme="minorHAnsi" w:cstheme="minorHAnsi"/>
          <w:sz w:val="24"/>
          <w:szCs w:val="24"/>
        </w:rPr>
        <w:t>, 31(1), 321–387.</w:t>
      </w:r>
    </w:p>
    <w:p w14:paraId="02F0AA08" w14:textId="08883D7B"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Sugeng</w:t>
      </w:r>
      <w:proofErr w:type="spellEnd"/>
      <w:r w:rsidRPr="001B1F5F">
        <w:rPr>
          <w:rFonts w:asciiTheme="minorHAnsi" w:hAnsiTheme="minorHAnsi" w:cstheme="minorHAnsi"/>
          <w:sz w:val="24"/>
          <w:szCs w:val="24"/>
        </w:rPr>
        <w:t xml:space="preserve">, S., </w:t>
      </w:r>
      <w:proofErr w:type="spellStart"/>
      <w:r w:rsidRPr="001B1F5F">
        <w:rPr>
          <w:rFonts w:asciiTheme="minorHAnsi" w:hAnsiTheme="minorHAnsi" w:cstheme="minorHAnsi"/>
          <w:sz w:val="24"/>
          <w:szCs w:val="24"/>
        </w:rPr>
        <w:t>Prasetyo</w:t>
      </w:r>
      <w:proofErr w:type="spellEnd"/>
      <w:r w:rsidRPr="001B1F5F">
        <w:rPr>
          <w:rFonts w:asciiTheme="minorHAnsi" w:hAnsiTheme="minorHAnsi" w:cstheme="minorHAnsi"/>
          <w:sz w:val="24"/>
          <w:szCs w:val="24"/>
        </w:rPr>
        <w:t xml:space="preserve">, E., &amp; Zaman, B. (2020). Does capital intensity, inventory intensity, firm size, firm risk, and political connections affect tax aggressiveness? </w:t>
      </w:r>
      <w:r w:rsidRPr="001B1F5F">
        <w:rPr>
          <w:rFonts w:asciiTheme="minorHAnsi" w:hAnsiTheme="minorHAnsi" w:cstheme="minorHAnsi"/>
          <w:i/>
          <w:iCs/>
          <w:sz w:val="24"/>
          <w:szCs w:val="24"/>
        </w:rPr>
        <w:t xml:space="preserve">JEMA: </w:t>
      </w:r>
      <w:proofErr w:type="spellStart"/>
      <w:r w:rsidRPr="001B1F5F">
        <w:rPr>
          <w:rFonts w:asciiTheme="minorHAnsi" w:hAnsiTheme="minorHAnsi" w:cstheme="minorHAnsi"/>
          <w:i/>
          <w:iCs/>
          <w:sz w:val="24"/>
          <w:szCs w:val="24"/>
        </w:rPr>
        <w:t>Jurnal</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Ilmiah</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Bidang</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Akuntansi</w:t>
      </w:r>
      <w:proofErr w:type="spellEnd"/>
      <w:r w:rsidRPr="001B1F5F">
        <w:rPr>
          <w:rFonts w:asciiTheme="minorHAnsi" w:hAnsiTheme="minorHAnsi" w:cstheme="minorHAnsi"/>
          <w:i/>
          <w:iCs/>
          <w:sz w:val="24"/>
          <w:szCs w:val="24"/>
        </w:rPr>
        <w:t xml:space="preserve"> </w:t>
      </w:r>
      <w:r w:rsidR="00367936" w:rsidRPr="001B1F5F">
        <w:rPr>
          <w:rFonts w:asciiTheme="minorHAnsi" w:hAnsiTheme="minorHAnsi" w:cstheme="minorHAnsi"/>
          <w:i/>
          <w:iCs/>
          <w:sz w:val="24"/>
          <w:szCs w:val="24"/>
        </w:rPr>
        <w:t>d</w:t>
      </w:r>
      <w:r w:rsidRPr="001B1F5F">
        <w:rPr>
          <w:rFonts w:asciiTheme="minorHAnsi" w:hAnsiTheme="minorHAnsi" w:cstheme="minorHAnsi"/>
          <w:i/>
          <w:iCs/>
          <w:sz w:val="24"/>
          <w:szCs w:val="24"/>
        </w:rPr>
        <w:t xml:space="preserve">an </w:t>
      </w:r>
      <w:proofErr w:type="spellStart"/>
      <w:r w:rsidRPr="001B1F5F">
        <w:rPr>
          <w:rFonts w:asciiTheme="minorHAnsi" w:hAnsiTheme="minorHAnsi" w:cstheme="minorHAnsi"/>
          <w:i/>
          <w:iCs/>
          <w:sz w:val="24"/>
          <w:szCs w:val="24"/>
        </w:rPr>
        <w:t>Manajemen</w:t>
      </w:r>
      <w:proofErr w:type="spellEnd"/>
      <w:r w:rsidRPr="001B1F5F">
        <w:rPr>
          <w:rFonts w:asciiTheme="minorHAnsi" w:hAnsiTheme="minorHAnsi" w:cstheme="minorHAnsi"/>
          <w:sz w:val="24"/>
          <w:szCs w:val="24"/>
        </w:rPr>
        <w:t>, 17(1), Article 1.</w:t>
      </w:r>
    </w:p>
    <w:p w14:paraId="65B79E1D"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Sunarsih</w:t>
      </w:r>
      <w:proofErr w:type="spellEnd"/>
      <w:r w:rsidRPr="001B1F5F">
        <w:rPr>
          <w:rFonts w:asciiTheme="minorHAnsi" w:hAnsiTheme="minorHAnsi" w:cstheme="minorHAnsi"/>
          <w:sz w:val="24"/>
          <w:szCs w:val="24"/>
        </w:rPr>
        <w:t xml:space="preserve">, U. &amp; </w:t>
      </w:r>
      <w:proofErr w:type="spellStart"/>
      <w:r w:rsidRPr="001B1F5F">
        <w:rPr>
          <w:rFonts w:asciiTheme="minorHAnsi" w:hAnsiTheme="minorHAnsi" w:cstheme="minorHAnsi"/>
          <w:sz w:val="24"/>
          <w:szCs w:val="24"/>
        </w:rPr>
        <w:t>Oktaviani</w:t>
      </w:r>
      <w:proofErr w:type="spellEnd"/>
      <w:r w:rsidRPr="001B1F5F">
        <w:rPr>
          <w:rFonts w:asciiTheme="minorHAnsi" w:hAnsiTheme="minorHAnsi" w:cstheme="minorHAnsi"/>
          <w:sz w:val="24"/>
          <w:szCs w:val="24"/>
        </w:rPr>
        <w:t xml:space="preserve">, K. (2016). Good corporate governance in manufacturing companies tax avoidance. </w:t>
      </w:r>
      <w:r w:rsidRPr="001B1F5F">
        <w:rPr>
          <w:rFonts w:asciiTheme="minorHAnsi" w:hAnsiTheme="minorHAnsi" w:cstheme="minorHAnsi"/>
          <w:i/>
          <w:iCs/>
          <w:sz w:val="24"/>
          <w:szCs w:val="24"/>
        </w:rPr>
        <w:t>ETIKONOMI</w:t>
      </w:r>
      <w:r w:rsidRPr="001B1F5F">
        <w:rPr>
          <w:rFonts w:asciiTheme="minorHAnsi" w:hAnsiTheme="minorHAnsi" w:cstheme="minorHAnsi"/>
          <w:sz w:val="24"/>
          <w:szCs w:val="24"/>
        </w:rPr>
        <w:t>, 15(2), Article 2.</w:t>
      </w:r>
    </w:p>
    <w:p w14:paraId="5039BAFE"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Suryatimur</w:t>
      </w:r>
      <w:proofErr w:type="spellEnd"/>
      <w:r w:rsidRPr="001B1F5F">
        <w:rPr>
          <w:rFonts w:asciiTheme="minorHAnsi" w:hAnsiTheme="minorHAnsi" w:cstheme="minorHAnsi"/>
          <w:sz w:val="24"/>
          <w:szCs w:val="24"/>
        </w:rPr>
        <w:t xml:space="preserve">, K. P., </w:t>
      </w:r>
      <w:proofErr w:type="spellStart"/>
      <w:r w:rsidRPr="001B1F5F">
        <w:rPr>
          <w:rFonts w:asciiTheme="minorHAnsi" w:hAnsiTheme="minorHAnsi" w:cstheme="minorHAnsi"/>
          <w:sz w:val="24"/>
          <w:szCs w:val="24"/>
        </w:rPr>
        <w:t>Panjawa</w:t>
      </w:r>
      <w:proofErr w:type="spellEnd"/>
      <w:r w:rsidRPr="001B1F5F">
        <w:rPr>
          <w:rFonts w:asciiTheme="minorHAnsi" w:hAnsiTheme="minorHAnsi" w:cstheme="minorHAnsi"/>
          <w:sz w:val="24"/>
          <w:szCs w:val="24"/>
        </w:rPr>
        <w:t xml:space="preserve">, J. L., &amp; </w:t>
      </w:r>
      <w:proofErr w:type="spellStart"/>
      <w:r w:rsidRPr="001B1F5F">
        <w:rPr>
          <w:rFonts w:asciiTheme="minorHAnsi" w:hAnsiTheme="minorHAnsi" w:cstheme="minorHAnsi"/>
          <w:sz w:val="24"/>
          <w:szCs w:val="24"/>
        </w:rPr>
        <w:t>Khabibah</w:t>
      </w:r>
      <w:proofErr w:type="spellEnd"/>
      <w:r w:rsidRPr="001B1F5F">
        <w:rPr>
          <w:rFonts w:asciiTheme="minorHAnsi" w:hAnsiTheme="minorHAnsi" w:cstheme="minorHAnsi"/>
          <w:sz w:val="24"/>
          <w:szCs w:val="24"/>
        </w:rPr>
        <w:t xml:space="preserve">, N. A. (2020). </w:t>
      </w:r>
      <w:proofErr w:type="spellStart"/>
      <w:r w:rsidRPr="001B1F5F">
        <w:rPr>
          <w:rFonts w:asciiTheme="minorHAnsi" w:hAnsiTheme="minorHAnsi" w:cstheme="minorHAnsi"/>
          <w:sz w:val="24"/>
          <w:szCs w:val="24"/>
        </w:rPr>
        <w:t>Pengaruh</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kinerja</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perusahaan</w:t>
      </w:r>
      <w:proofErr w:type="spellEnd"/>
      <w:r w:rsidRPr="001B1F5F">
        <w:rPr>
          <w:rFonts w:asciiTheme="minorHAnsi" w:hAnsiTheme="minorHAnsi" w:cstheme="minorHAnsi"/>
          <w:sz w:val="24"/>
          <w:szCs w:val="24"/>
        </w:rPr>
        <w:t xml:space="preserve"> dan corporate governance </w:t>
      </w:r>
      <w:proofErr w:type="spellStart"/>
      <w:r w:rsidRPr="001B1F5F">
        <w:rPr>
          <w:rFonts w:asciiTheme="minorHAnsi" w:hAnsiTheme="minorHAnsi" w:cstheme="minorHAnsi"/>
          <w:sz w:val="24"/>
          <w:szCs w:val="24"/>
        </w:rPr>
        <w:t>terhadap</w:t>
      </w:r>
      <w:proofErr w:type="spellEnd"/>
      <w:r w:rsidRPr="001B1F5F">
        <w:rPr>
          <w:rFonts w:asciiTheme="minorHAnsi" w:hAnsiTheme="minorHAnsi" w:cstheme="minorHAnsi"/>
          <w:sz w:val="24"/>
          <w:szCs w:val="24"/>
        </w:rPr>
        <w:t xml:space="preserve"> tax avoidance pada </w:t>
      </w:r>
      <w:proofErr w:type="spellStart"/>
      <w:r w:rsidRPr="001B1F5F">
        <w:rPr>
          <w:rFonts w:asciiTheme="minorHAnsi" w:hAnsiTheme="minorHAnsi" w:cstheme="minorHAnsi"/>
          <w:sz w:val="24"/>
          <w:szCs w:val="24"/>
        </w:rPr>
        <w:t>perusahaan</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sektor</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manufaktur</w:t>
      </w:r>
      <w:proofErr w:type="spellEnd"/>
      <w:r w:rsidRPr="001B1F5F">
        <w:rPr>
          <w:rFonts w:asciiTheme="minorHAnsi" w:hAnsiTheme="minorHAnsi" w:cstheme="minorHAnsi"/>
          <w:sz w:val="24"/>
          <w:szCs w:val="24"/>
        </w:rPr>
        <w:t xml:space="preserve"> </w:t>
      </w:r>
      <w:proofErr w:type="spellStart"/>
      <w:r w:rsidRPr="001B1F5F">
        <w:rPr>
          <w:rFonts w:asciiTheme="minorHAnsi" w:hAnsiTheme="minorHAnsi" w:cstheme="minorHAnsi"/>
          <w:sz w:val="24"/>
          <w:szCs w:val="24"/>
        </w:rPr>
        <w:t>tahun</w:t>
      </w:r>
      <w:proofErr w:type="spellEnd"/>
      <w:r w:rsidRPr="001B1F5F">
        <w:rPr>
          <w:rFonts w:asciiTheme="minorHAnsi" w:hAnsiTheme="minorHAnsi" w:cstheme="minorHAnsi"/>
          <w:sz w:val="24"/>
          <w:szCs w:val="24"/>
        </w:rPr>
        <w:t xml:space="preserve"> 2016–2018. </w:t>
      </w:r>
      <w:proofErr w:type="spellStart"/>
      <w:r w:rsidRPr="001B1F5F">
        <w:rPr>
          <w:rFonts w:asciiTheme="minorHAnsi" w:hAnsiTheme="minorHAnsi" w:cstheme="minorHAnsi"/>
          <w:i/>
          <w:iCs/>
          <w:sz w:val="24"/>
          <w:szCs w:val="24"/>
        </w:rPr>
        <w:t>AdBispreneur</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Jurnal</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Pemikiran</w:t>
      </w:r>
      <w:proofErr w:type="spellEnd"/>
      <w:r w:rsidRPr="001B1F5F">
        <w:rPr>
          <w:rFonts w:asciiTheme="minorHAnsi" w:hAnsiTheme="minorHAnsi" w:cstheme="minorHAnsi"/>
          <w:i/>
          <w:iCs/>
          <w:sz w:val="24"/>
          <w:szCs w:val="24"/>
        </w:rPr>
        <w:t xml:space="preserve"> dan </w:t>
      </w:r>
      <w:proofErr w:type="spellStart"/>
      <w:r w:rsidRPr="001B1F5F">
        <w:rPr>
          <w:rFonts w:asciiTheme="minorHAnsi" w:hAnsiTheme="minorHAnsi" w:cstheme="minorHAnsi"/>
          <w:i/>
          <w:iCs/>
          <w:sz w:val="24"/>
          <w:szCs w:val="24"/>
        </w:rPr>
        <w:t>Penelitian</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Administrasi</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Bisnis</w:t>
      </w:r>
      <w:proofErr w:type="spellEnd"/>
      <w:r w:rsidRPr="001B1F5F">
        <w:rPr>
          <w:rFonts w:asciiTheme="minorHAnsi" w:hAnsiTheme="minorHAnsi" w:cstheme="minorHAnsi"/>
          <w:i/>
          <w:iCs/>
          <w:sz w:val="24"/>
          <w:szCs w:val="24"/>
        </w:rPr>
        <w:t xml:space="preserve"> dan </w:t>
      </w:r>
      <w:proofErr w:type="spellStart"/>
      <w:r w:rsidRPr="001B1F5F">
        <w:rPr>
          <w:rFonts w:asciiTheme="minorHAnsi" w:hAnsiTheme="minorHAnsi" w:cstheme="minorHAnsi"/>
          <w:i/>
          <w:iCs/>
          <w:sz w:val="24"/>
          <w:szCs w:val="24"/>
        </w:rPr>
        <w:t>Kewirausahaan</w:t>
      </w:r>
      <w:proofErr w:type="spellEnd"/>
      <w:r w:rsidRPr="001B1F5F">
        <w:rPr>
          <w:rFonts w:asciiTheme="minorHAnsi" w:hAnsiTheme="minorHAnsi" w:cstheme="minorHAnsi"/>
          <w:sz w:val="24"/>
          <w:szCs w:val="24"/>
        </w:rPr>
        <w:t>, 5(2), Article 2</w:t>
      </w:r>
    </w:p>
    <w:p w14:paraId="51C787CD" w14:textId="5E80A04D"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Suyono</w:t>
      </w:r>
      <w:proofErr w:type="spellEnd"/>
      <w:r w:rsidRPr="001B1F5F">
        <w:rPr>
          <w:rFonts w:asciiTheme="minorHAnsi" w:hAnsiTheme="minorHAnsi" w:cstheme="minorHAnsi"/>
          <w:sz w:val="24"/>
          <w:szCs w:val="24"/>
        </w:rPr>
        <w:t xml:space="preserve">, E. (2018). External auditors’ quality, leverage, and tax aggressiveness: Empirical evidence from the </w:t>
      </w:r>
      <w:proofErr w:type="spellStart"/>
      <w:r w:rsidRPr="001B1F5F">
        <w:rPr>
          <w:rFonts w:asciiTheme="minorHAnsi" w:hAnsiTheme="minorHAnsi" w:cstheme="minorHAnsi"/>
          <w:sz w:val="24"/>
          <w:szCs w:val="24"/>
        </w:rPr>
        <w:t>indonesian</w:t>
      </w:r>
      <w:proofErr w:type="spellEnd"/>
      <w:r w:rsidRPr="001B1F5F">
        <w:rPr>
          <w:rFonts w:asciiTheme="minorHAnsi" w:hAnsiTheme="minorHAnsi" w:cstheme="minorHAnsi"/>
          <w:sz w:val="24"/>
          <w:szCs w:val="24"/>
        </w:rPr>
        <w:t xml:space="preserve"> stock exchange. </w:t>
      </w:r>
      <w:r w:rsidRPr="001B1F5F">
        <w:rPr>
          <w:rFonts w:asciiTheme="minorHAnsi" w:hAnsiTheme="minorHAnsi" w:cstheme="minorHAnsi"/>
          <w:i/>
          <w:iCs/>
          <w:sz w:val="24"/>
          <w:szCs w:val="24"/>
        </w:rPr>
        <w:t xml:space="preserve">Media </w:t>
      </w:r>
      <w:proofErr w:type="spellStart"/>
      <w:r w:rsidRPr="001B1F5F">
        <w:rPr>
          <w:rFonts w:asciiTheme="minorHAnsi" w:hAnsiTheme="minorHAnsi" w:cstheme="minorHAnsi"/>
          <w:i/>
          <w:iCs/>
          <w:sz w:val="24"/>
          <w:szCs w:val="24"/>
        </w:rPr>
        <w:t>Ekonomi</w:t>
      </w:r>
      <w:proofErr w:type="spellEnd"/>
      <w:r w:rsidRPr="001B1F5F">
        <w:rPr>
          <w:rFonts w:asciiTheme="minorHAnsi" w:hAnsiTheme="minorHAnsi" w:cstheme="minorHAnsi"/>
          <w:i/>
          <w:iCs/>
          <w:sz w:val="24"/>
          <w:szCs w:val="24"/>
        </w:rPr>
        <w:t xml:space="preserve"> </w:t>
      </w:r>
      <w:r w:rsidR="00367936" w:rsidRPr="001B1F5F">
        <w:rPr>
          <w:rFonts w:asciiTheme="minorHAnsi" w:hAnsiTheme="minorHAnsi" w:cstheme="minorHAnsi"/>
          <w:i/>
          <w:iCs/>
          <w:sz w:val="24"/>
          <w:szCs w:val="24"/>
        </w:rPr>
        <w:t>d</w:t>
      </w:r>
      <w:r w:rsidRPr="001B1F5F">
        <w:rPr>
          <w:rFonts w:asciiTheme="minorHAnsi" w:hAnsiTheme="minorHAnsi" w:cstheme="minorHAnsi"/>
          <w:i/>
          <w:iCs/>
          <w:sz w:val="24"/>
          <w:szCs w:val="24"/>
        </w:rPr>
        <w:t xml:space="preserve">an </w:t>
      </w:r>
      <w:proofErr w:type="spellStart"/>
      <w:r w:rsidRPr="001B1F5F">
        <w:rPr>
          <w:rFonts w:asciiTheme="minorHAnsi" w:hAnsiTheme="minorHAnsi" w:cstheme="minorHAnsi"/>
          <w:i/>
          <w:iCs/>
          <w:sz w:val="24"/>
          <w:szCs w:val="24"/>
        </w:rPr>
        <w:t>Manajemen</w:t>
      </w:r>
      <w:proofErr w:type="spellEnd"/>
      <w:r w:rsidRPr="001B1F5F">
        <w:rPr>
          <w:rFonts w:asciiTheme="minorHAnsi" w:hAnsiTheme="minorHAnsi" w:cstheme="minorHAnsi"/>
          <w:sz w:val="24"/>
          <w:szCs w:val="24"/>
        </w:rPr>
        <w:t>, 33(2), Article 2.</w:t>
      </w:r>
    </w:p>
    <w:p w14:paraId="6EB1A208"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Taylor, G. &amp; Richardson, G. (2012). International corporate tax avoidance practices: Evidence from Australian firms. </w:t>
      </w:r>
      <w:r w:rsidRPr="001B1F5F">
        <w:rPr>
          <w:rFonts w:asciiTheme="minorHAnsi" w:hAnsiTheme="minorHAnsi" w:cstheme="minorHAnsi"/>
          <w:i/>
          <w:iCs/>
          <w:sz w:val="24"/>
          <w:szCs w:val="24"/>
        </w:rPr>
        <w:t>International Journal of Accounting</w:t>
      </w:r>
      <w:r w:rsidRPr="001B1F5F">
        <w:rPr>
          <w:rFonts w:asciiTheme="minorHAnsi" w:hAnsiTheme="minorHAnsi" w:cstheme="minorHAnsi"/>
          <w:sz w:val="24"/>
          <w:szCs w:val="24"/>
        </w:rPr>
        <w:t>, 47(4), 469–496.</w:t>
      </w:r>
    </w:p>
    <w:p w14:paraId="2FA1EF97"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lastRenderedPageBreak/>
        <w:t>Turyatini</w:t>
      </w:r>
      <w:proofErr w:type="spellEnd"/>
      <w:r w:rsidRPr="001B1F5F">
        <w:rPr>
          <w:rFonts w:asciiTheme="minorHAnsi" w:hAnsiTheme="minorHAnsi" w:cstheme="minorHAnsi"/>
          <w:sz w:val="24"/>
          <w:szCs w:val="24"/>
        </w:rPr>
        <w:t xml:space="preserve">, T. (2017). The analysis of tax avoidance determinant on the property and real estate companies. </w:t>
      </w:r>
      <w:proofErr w:type="spellStart"/>
      <w:r w:rsidRPr="001B1F5F">
        <w:rPr>
          <w:rFonts w:asciiTheme="minorHAnsi" w:hAnsiTheme="minorHAnsi" w:cstheme="minorHAnsi"/>
          <w:i/>
          <w:iCs/>
          <w:sz w:val="24"/>
          <w:szCs w:val="24"/>
        </w:rPr>
        <w:t>Jurnal</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Dinamika</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Akuntansi</w:t>
      </w:r>
      <w:proofErr w:type="spellEnd"/>
      <w:r w:rsidRPr="001B1F5F">
        <w:rPr>
          <w:rFonts w:asciiTheme="minorHAnsi" w:hAnsiTheme="minorHAnsi" w:cstheme="minorHAnsi"/>
          <w:sz w:val="24"/>
          <w:szCs w:val="24"/>
        </w:rPr>
        <w:t>, 9(2), Article 2.</w:t>
      </w:r>
    </w:p>
    <w:p w14:paraId="72712FDF"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 xml:space="preserve">Wang, F., Xu, S., Sun, J., &amp; Cullinan, C. P. (2020). Corporate tax avoidance: a literature review and research agenda. </w:t>
      </w:r>
      <w:r w:rsidRPr="001B1F5F">
        <w:rPr>
          <w:rFonts w:asciiTheme="minorHAnsi" w:hAnsiTheme="minorHAnsi" w:cstheme="minorHAnsi"/>
          <w:i/>
          <w:iCs/>
          <w:sz w:val="24"/>
          <w:szCs w:val="24"/>
        </w:rPr>
        <w:t>Journal of Economic Surveys</w:t>
      </w:r>
      <w:r w:rsidRPr="001B1F5F">
        <w:rPr>
          <w:rFonts w:asciiTheme="minorHAnsi" w:hAnsiTheme="minorHAnsi" w:cstheme="minorHAnsi"/>
          <w:sz w:val="24"/>
          <w:szCs w:val="24"/>
        </w:rPr>
        <w:t>, 34(4), 793–811.</w:t>
      </w:r>
    </w:p>
    <w:p w14:paraId="7B466ACE"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r w:rsidRPr="001B1F5F">
        <w:rPr>
          <w:rFonts w:asciiTheme="minorHAnsi" w:hAnsiTheme="minorHAnsi" w:cstheme="minorHAnsi"/>
          <w:sz w:val="24"/>
          <w:szCs w:val="24"/>
        </w:rPr>
        <w:t>Watts, R. L. &amp; Zimmerman J. L. (1986). Toward a positive theory of accounting. Prentice Hall.</w:t>
      </w:r>
    </w:p>
    <w:p w14:paraId="577C5726" w14:textId="77777777" w:rsidR="00267A5C" w:rsidRPr="001B1F5F" w:rsidRDefault="00267A5C" w:rsidP="0073238E">
      <w:pPr>
        <w:pStyle w:val="NoSpacing"/>
        <w:spacing w:after="120"/>
        <w:ind w:left="720" w:hanging="720"/>
        <w:jc w:val="both"/>
        <w:rPr>
          <w:rFonts w:asciiTheme="minorHAnsi" w:hAnsiTheme="minorHAnsi" w:cstheme="minorHAnsi"/>
          <w:sz w:val="24"/>
          <w:szCs w:val="24"/>
        </w:rPr>
      </w:pPr>
      <w:proofErr w:type="spellStart"/>
      <w:r w:rsidRPr="001B1F5F">
        <w:rPr>
          <w:rFonts w:asciiTheme="minorHAnsi" w:hAnsiTheme="minorHAnsi" w:cstheme="minorHAnsi"/>
          <w:sz w:val="24"/>
          <w:szCs w:val="24"/>
        </w:rPr>
        <w:t>Widarjo</w:t>
      </w:r>
      <w:proofErr w:type="spellEnd"/>
      <w:r w:rsidRPr="001B1F5F">
        <w:rPr>
          <w:rFonts w:asciiTheme="minorHAnsi" w:hAnsiTheme="minorHAnsi" w:cstheme="minorHAnsi"/>
          <w:sz w:val="24"/>
          <w:szCs w:val="24"/>
        </w:rPr>
        <w:t xml:space="preserve">, W., </w:t>
      </w:r>
      <w:proofErr w:type="spellStart"/>
      <w:r w:rsidRPr="001B1F5F">
        <w:rPr>
          <w:rFonts w:asciiTheme="minorHAnsi" w:hAnsiTheme="minorHAnsi" w:cstheme="minorHAnsi"/>
          <w:sz w:val="24"/>
          <w:szCs w:val="24"/>
        </w:rPr>
        <w:t>Sudaryono</w:t>
      </w:r>
      <w:proofErr w:type="spellEnd"/>
      <w:r w:rsidRPr="001B1F5F">
        <w:rPr>
          <w:rFonts w:asciiTheme="minorHAnsi" w:hAnsiTheme="minorHAnsi" w:cstheme="minorHAnsi"/>
          <w:sz w:val="24"/>
          <w:szCs w:val="24"/>
        </w:rPr>
        <w:t xml:space="preserve">, E. A., </w:t>
      </w:r>
      <w:proofErr w:type="spellStart"/>
      <w:r w:rsidRPr="001B1F5F">
        <w:rPr>
          <w:rFonts w:asciiTheme="minorHAnsi" w:hAnsiTheme="minorHAnsi" w:cstheme="minorHAnsi"/>
          <w:sz w:val="24"/>
          <w:szCs w:val="24"/>
        </w:rPr>
        <w:t>Sutopo</w:t>
      </w:r>
      <w:proofErr w:type="spellEnd"/>
      <w:r w:rsidRPr="001B1F5F">
        <w:rPr>
          <w:rFonts w:asciiTheme="minorHAnsi" w:hAnsiTheme="minorHAnsi" w:cstheme="minorHAnsi"/>
          <w:sz w:val="24"/>
          <w:szCs w:val="24"/>
        </w:rPr>
        <w:t xml:space="preserve">, B., </w:t>
      </w:r>
      <w:proofErr w:type="spellStart"/>
      <w:r w:rsidRPr="001B1F5F">
        <w:rPr>
          <w:rFonts w:asciiTheme="minorHAnsi" w:hAnsiTheme="minorHAnsi" w:cstheme="minorHAnsi"/>
          <w:sz w:val="24"/>
          <w:szCs w:val="24"/>
        </w:rPr>
        <w:t>Syafiqurrahman</w:t>
      </w:r>
      <w:proofErr w:type="spellEnd"/>
      <w:r w:rsidRPr="001B1F5F">
        <w:rPr>
          <w:rFonts w:asciiTheme="minorHAnsi" w:hAnsiTheme="minorHAnsi" w:cstheme="minorHAnsi"/>
          <w:sz w:val="24"/>
          <w:szCs w:val="24"/>
        </w:rPr>
        <w:t xml:space="preserve">, M., &amp; </w:t>
      </w:r>
      <w:proofErr w:type="spellStart"/>
      <w:r w:rsidRPr="001B1F5F">
        <w:rPr>
          <w:rFonts w:asciiTheme="minorHAnsi" w:hAnsiTheme="minorHAnsi" w:cstheme="minorHAnsi"/>
          <w:sz w:val="24"/>
          <w:szCs w:val="24"/>
        </w:rPr>
        <w:t>Juliati</w:t>
      </w:r>
      <w:proofErr w:type="spellEnd"/>
      <w:r w:rsidRPr="001B1F5F">
        <w:rPr>
          <w:rFonts w:asciiTheme="minorHAnsi" w:hAnsiTheme="minorHAnsi" w:cstheme="minorHAnsi"/>
          <w:sz w:val="24"/>
          <w:szCs w:val="24"/>
        </w:rPr>
        <w:t xml:space="preserve">, J. (2021). The moderating role of corporate governance on the relationship between political connections and tax avoidance. </w:t>
      </w:r>
      <w:proofErr w:type="spellStart"/>
      <w:r w:rsidRPr="001B1F5F">
        <w:rPr>
          <w:rFonts w:asciiTheme="minorHAnsi" w:hAnsiTheme="minorHAnsi" w:cstheme="minorHAnsi"/>
          <w:i/>
          <w:iCs/>
          <w:sz w:val="24"/>
          <w:szCs w:val="24"/>
        </w:rPr>
        <w:t>Jurnal</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Dinamika</w:t>
      </w:r>
      <w:proofErr w:type="spellEnd"/>
      <w:r w:rsidRPr="001B1F5F">
        <w:rPr>
          <w:rFonts w:asciiTheme="minorHAnsi" w:hAnsiTheme="minorHAnsi" w:cstheme="minorHAnsi"/>
          <w:i/>
          <w:iCs/>
          <w:sz w:val="24"/>
          <w:szCs w:val="24"/>
        </w:rPr>
        <w:t xml:space="preserve"> </w:t>
      </w:r>
      <w:proofErr w:type="spellStart"/>
      <w:r w:rsidRPr="001B1F5F">
        <w:rPr>
          <w:rFonts w:asciiTheme="minorHAnsi" w:hAnsiTheme="minorHAnsi" w:cstheme="minorHAnsi"/>
          <w:i/>
          <w:iCs/>
          <w:sz w:val="24"/>
          <w:szCs w:val="24"/>
        </w:rPr>
        <w:t>Akuntansi</w:t>
      </w:r>
      <w:proofErr w:type="spellEnd"/>
      <w:r w:rsidRPr="001B1F5F">
        <w:rPr>
          <w:rFonts w:asciiTheme="minorHAnsi" w:hAnsiTheme="minorHAnsi" w:cstheme="minorHAnsi"/>
          <w:sz w:val="24"/>
          <w:szCs w:val="24"/>
        </w:rPr>
        <w:t>, 13(1), Article 1.</w:t>
      </w:r>
    </w:p>
    <w:p w14:paraId="282FA3C3" w14:textId="618F332F" w:rsidR="00081DBF" w:rsidRPr="00081DBF" w:rsidRDefault="00081DBF" w:rsidP="00081DBF">
      <w:pPr>
        <w:pStyle w:val="NoSpacing"/>
        <w:spacing w:after="120"/>
        <w:ind w:left="720" w:hanging="720"/>
        <w:jc w:val="both"/>
        <w:rPr>
          <w:rFonts w:asciiTheme="minorHAnsi" w:hAnsiTheme="minorHAnsi" w:cstheme="minorHAnsi"/>
          <w:sz w:val="24"/>
          <w:szCs w:val="24"/>
        </w:rPr>
      </w:pPr>
      <w:proofErr w:type="spellStart"/>
      <w:r w:rsidRPr="00081DBF">
        <w:rPr>
          <w:rFonts w:asciiTheme="minorHAnsi" w:hAnsiTheme="minorHAnsi" w:cstheme="minorHAnsi"/>
          <w:sz w:val="24"/>
          <w:szCs w:val="24"/>
        </w:rPr>
        <w:t>Widyastuti</w:t>
      </w:r>
      <w:proofErr w:type="spellEnd"/>
      <w:r w:rsidRPr="00081DBF">
        <w:rPr>
          <w:rFonts w:asciiTheme="minorHAnsi" w:hAnsiTheme="minorHAnsi" w:cstheme="minorHAnsi"/>
          <w:sz w:val="24"/>
          <w:szCs w:val="24"/>
        </w:rPr>
        <w:t xml:space="preserve"> S</w:t>
      </w:r>
      <w:r>
        <w:rPr>
          <w:rFonts w:asciiTheme="minorHAnsi" w:hAnsiTheme="minorHAnsi" w:cstheme="minorHAnsi"/>
          <w:sz w:val="24"/>
          <w:szCs w:val="24"/>
        </w:rPr>
        <w:t>.</w:t>
      </w:r>
      <w:r w:rsidRPr="00081DBF">
        <w:rPr>
          <w:rFonts w:asciiTheme="minorHAnsi" w:hAnsiTheme="minorHAnsi" w:cstheme="minorHAnsi"/>
          <w:sz w:val="24"/>
          <w:szCs w:val="24"/>
        </w:rPr>
        <w:t>M</w:t>
      </w:r>
      <w:r>
        <w:rPr>
          <w:rFonts w:asciiTheme="minorHAnsi" w:hAnsiTheme="minorHAnsi" w:cstheme="minorHAnsi"/>
          <w:sz w:val="24"/>
          <w:szCs w:val="24"/>
        </w:rPr>
        <w:t>.</w:t>
      </w:r>
      <w:r w:rsidRPr="00081DBF">
        <w:rPr>
          <w:rFonts w:asciiTheme="minorHAnsi" w:hAnsiTheme="minorHAnsi" w:cstheme="minorHAnsi"/>
          <w:sz w:val="24"/>
          <w:szCs w:val="24"/>
        </w:rPr>
        <w:t xml:space="preserve">, </w:t>
      </w:r>
      <w:proofErr w:type="spellStart"/>
      <w:r w:rsidRPr="00081DBF">
        <w:rPr>
          <w:rFonts w:asciiTheme="minorHAnsi" w:hAnsiTheme="minorHAnsi" w:cstheme="minorHAnsi"/>
          <w:sz w:val="24"/>
          <w:szCs w:val="24"/>
        </w:rPr>
        <w:t>Meutia</w:t>
      </w:r>
      <w:proofErr w:type="spellEnd"/>
      <w:r w:rsidRPr="00081DBF">
        <w:rPr>
          <w:rFonts w:asciiTheme="minorHAnsi" w:hAnsiTheme="minorHAnsi" w:cstheme="minorHAnsi"/>
          <w:sz w:val="24"/>
          <w:szCs w:val="24"/>
        </w:rPr>
        <w:t xml:space="preserve"> I</w:t>
      </w:r>
      <w:r>
        <w:rPr>
          <w:rFonts w:asciiTheme="minorHAnsi" w:hAnsiTheme="minorHAnsi" w:cstheme="minorHAnsi"/>
          <w:sz w:val="24"/>
          <w:szCs w:val="24"/>
        </w:rPr>
        <w:t>.</w:t>
      </w:r>
      <w:r w:rsidRPr="00081DBF">
        <w:rPr>
          <w:rFonts w:asciiTheme="minorHAnsi" w:hAnsiTheme="minorHAnsi" w:cstheme="minorHAnsi"/>
          <w:sz w:val="24"/>
          <w:szCs w:val="24"/>
        </w:rPr>
        <w:t xml:space="preserve"> &amp; </w:t>
      </w:r>
      <w:proofErr w:type="spellStart"/>
      <w:r w:rsidRPr="00081DBF">
        <w:rPr>
          <w:rFonts w:asciiTheme="minorHAnsi" w:hAnsiTheme="minorHAnsi" w:cstheme="minorHAnsi"/>
          <w:sz w:val="24"/>
          <w:szCs w:val="24"/>
        </w:rPr>
        <w:t>Candrakanta</w:t>
      </w:r>
      <w:proofErr w:type="spellEnd"/>
      <w:r w:rsidRPr="00081DBF">
        <w:rPr>
          <w:rFonts w:asciiTheme="minorHAnsi" w:hAnsiTheme="minorHAnsi" w:cstheme="minorHAnsi"/>
          <w:sz w:val="24"/>
          <w:szCs w:val="24"/>
        </w:rPr>
        <w:t xml:space="preserve"> A</w:t>
      </w:r>
      <w:r>
        <w:rPr>
          <w:rFonts w:asciiTheme="minorHAnsi" w:hAnsiTheme="minorHAnsi" w:cstheme="minorHAnsi"/>
          <w:sz w:val="24"/>
          <w:szCs w:val="24"/>
        </w:rPr>
        <w:t>.</w:t>
      </w:r>
      <w:r w:rsidRPr="00081DBF">
        <w:rPr>
          <w:rFonts w:asciiTheme="minorHAnsi" w:hAnsiTheme="minorHAnsi" w:cstheme="minorHAnsi"/>
          <w:sz w:val="24"/>
          <w:szCs w:val="24"/>
        </w:rPr>
        <w:t xml:space="preserve">B. </w:t>
      </w:r>
      <w:r>
        <w:rPr>
          <w:rFonts w:asciiTheme="minorHAnsi" w:hAnsiTheme="minorHAnsi" w:cstheme="minorHAnsi"/>
          <w:sz w:val="24"/>
          <w:szCs w:val="24"/>
        </w:rPr>
        <w:t>(</w:t>
      </w:r>
      <w:r w:rsidRPr="00081DBF">
        <w:rPr>
          <w:rFonts w:asciiTheme="minorHAnsi" w:hAnsiTheme="minorHAnsi" w:cstheme="minorHAnsi"/>
          <w:sz w:val="24"/>
          <w:szCs w:val="24"/>
        </w:rPr>
        <w:t>2022</w:t>
      </w:r>
      <w:r>
        <w:rPr>
          <w:rFonts w:asciiTheme="minorHAnsi" w:hAnsiTheme="minorHAnsi" w:cstheme="minorHAnsi"/>
          <w:sz w:val="24"/>
          <w:szCs w:val="24"/>
        </w:rPr>
        <w:t>)</w:t>
      </w:r>
      <w:r w:rsidRPr="00081DBF">
        <w:rPr>
          <w:rFonts w:asciiTheme="minorHAnsi" w:hAnsiTheme="minorHAnsi" w:cstheme="minorHAnsi"/>
          <w:sz w:val="24"/>
          <w:szCs w:val="24"/>
        </w:rPr>
        <w:t xml:space="preserve">. </w:t>
      </w:r>
      <w:r>
        <w:rPr>
          <w:rFonts w:asciiTheme="minorHAnsi" w:hAnsiTheme="minorHAnsi" w:cstheme="minorHAnsi"/>
          <w:sz w:val="24"/>
          <w:szCs w:val="24"/>
        </w:rPr>
        <w:t>T</w:t>
      </w:r>
      <w:r w:rsidRPr="00081DBF">
        <w:rPr>
          <w:rFonts w:asciiTheme="minorHAnsi" w:hAnsiTheme="minorHAnsi" w:cstheme="minorHAnsi"/>
          <w:sz w:val="24"/>
          <w:szCs w:val="24"/>
        </w:rPr>
        <w:t xml:space="preserve">he effect of leverage, profitability, capital intensity, and corporate governance on tax avoidance. </w:t>
      </w:r>
      <w:r w:rsidRPr="00081DBF">
        <w:rPr>
          <w:rFonts w:asciiTheme="minorHAnsi" w:hAnsiTheme="minorHAnsi" w:cstheme="minorHAnsi"/>
          <w:i/>
          <w:iCs/>
          <w:sz w:val="24"/>
          <w:szCs w:val="24"/>
        </w:rPr>
        <w:t>Integrated Journal of Business and Economics</w:t>
      </w:r>
      <w:r w:rsidRPr="00081DBF">
        <w:rPr>
          <w:rFonts w:asciiTheme="minorHAnsi" w:hAnsiTheme="minorHAnsi" w:cstheme="minorHAnsi"/>
          <w:sz w:val="24"/>
          <w:szCs w:val="24"/>
        </w:rPr>
        <w:t xml:space="preserve">, </w:t>
      </w:r>
      <w:r w:rsidRPr="00081DBF">
        <w:rPr>
          <w:rFonts w:asciiTheme="minorHAnsi" w:hAnsiTheme="minorHAnsi" w:cstheme="minorHAnsi"/>
          <w:i/>
          <w:iCs/>
          <w:sz w:val="24"/>
          <w:szCs w:val="24"/>
        </w:rPr>
        <w:t>6</w:t>
      </w:r>
      <w:r w:rsidRPr="00081DBF">
        <w:rPr>
          <w:rFonts w:asciiTheme="minorHAnsi" w:hAnsiTheme="minorHAnsi" w:cstheme="minorHAnsi"/>
          <w:sz w:val="24"/>
          <w:szCs w:val="24"/>
        </w:rPr>
        <w:t xml:space="preserve">(1), Article 1. </w:t>
      </w:r>
    </w:p>
    <w:p w14:paraId="3B2C1C0E" w14:textId="77777777" w:rsidR="00D23F67" w:rsidRPr="001B1F5F" w:rsidRDefault="00D23F67" w:rsidP="0073238E">
      <w:pPr>
        <w:pStyle w:val="NoSpacing"/>
        <w:spacing w:after="120"/>
        <w:ind w:left="720" w:hanging="720"/>
        <w:jc w:val="both"/>
        <w:rPr>
          <w:rFonts w:asciiTheme="minorHAnsi" w:hAnsiTheme="minorHAnsi" w:cstheme="minorHAnsi"/>
          <w:sz w:val="24"/>
          <w:szCs w:val="24"/>
        </w:rPr>
      </w:pPr>
    </w:p>
    <w:sectPr w:rsidR="00D23F67" w:rsidRPr="001B1F5F" w:rsidSect="00C875EF">
      <w:footerReference w:type="even" r:id="rId8"/>
      <w:footerReference w:type="default" r:id="rId9"/>
      <w:headerReference w:type="first" r:id="rId10"/>
      <w:type w:val="continuous"/>
      <w:pgSz w:w="11906" w:h="16838" w:code="9"/>
      <w:pgMar w:top="1247" w:right="1021" w:bottom="1247" w:left="1021"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503A5" w14:textId="77777777" w:rsidR="00C11E43" w:rsidRDefault="00C11E43" w:rsidP="00EE6693">
      <w:pPr>
        <w:spacing w:after="0" w:line="240" w:lineRule="auto"/>
      </w:pPr>
      <w:r>
        <w:separator/>
      </w:r>
    </w:p>
  </w:endnote>
  <w:endnote w:type="continuationSeparator" w:id="0">
    <w:p w14:paraId="79E680F2" w14:textId="77777777" w:rsidR="00C11E43" w:rsidRDefault="00C11E43" w:rsidP="00EE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19999"/>
      <w:docPartObj>
        <w:docPartGallery w:val="Page Numbers (Bottom of Page)"/>
        <w:docPartUnique/>
      </w:docPartObj>
    </w:sdtPr>
    <w:sdtEndPr>
      <w:rPr>
        <w:noProof/>
      </w:rPr>
    </w:sdtEndPr>
    <w:sdtContent>
      <w:p w14:paraId="09363C11" w14:textId="3F7FF998" w:rsidR="008E7089" w:rsidRDefault="008E70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A324A9" w14:textId="77777777" w:rsidR="008E7089" w:rsidRDefault="008E7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94307"/>
      <w:docPartObj>
        <w:docPartGallery w:val="Page Numbers (Bottom of Page)"/>
        <w:docPartUnique/>
      </w:docPartObj>
    </w:sdtPr>
    <w:sdtEndPr>
      <w:rPr>
        <w:noProof/>
      </w:rPr>
    </w:sdtEndPr>
    <w:sdtContent>
      <w:p w14:paraId="30DA12E8" w14:textId="51B0A8D6" w:rsidR="008E7089" w:rsidRDefault="008E70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576829" w14:textId="77777777" w:rsidR="008E7089" w:rsidRDefault="008E7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1D1CE" w14:textId="77777777" w:rsidR="00C11E43" w:rsidRDefault="00C11E43" w:rsidP="00EE6693">
      <w:pPr>
        <w:spacing w:after="0" w:line="240" w:lineRule="auto"/>
      </w:pPr>
      <w:r>
        <w:separator/>
      </w:r>
    </w:p>
  </w:footnote>
  <w:footnote w:type="continuationSeparator" w:id="0">
    <w:p w14:paraId="42F60785" w14:textId="77777777" w:rsidR="00C11E43" w:rsidRDefault="00C11E43" w:rsidP="00EE6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1017C" w14:textId="7CA0642C" w:rsidR="008E7089" w:rsidRDefault="008E7089" w:rsidP="00A5027E">
    <w:pPr>
      <w:pStyle w:val="Header"/>
      <w:spacing w:after="0" w:line="240" w:lineRule="auto"/>
    </w:pPr>
  </w:p>
  <w:p w14:paraId="5F62C969" w14:textId="77777777" w:rsidR="008E7089" w:rsidRPr="00A5027E" w:rsidRDefault="008E7089" w:rsidP="00A5027E">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1903"/>
    <w:multiLevelType w:val="multilevel"/>
    <w:tmpl w:val="15D271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6612B1D"/>
    <w:multiLevelType w:val="multilevel"/>
    <w:tmpl w:val="2EC22B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DF2752"/>
    <w:multiLevelType w:val="multilevel"/>
    <w:tmpl w:val="8122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7D610F"/>
    <w:multiLevelType w:val="multilevel"/>
    <w:tmpl w:val="2EC22B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FE6324"/>
    <w:multiLevelType w:val="multilevel"/>
    <w:tmpl w:val="2EC22B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4C25C9"/>
    <w:multiLevelType w:val="hybridMultilevel"/>
    <w:tmpl w:val="31CA91B2"/>
    <w:lvl w:ilvl="0" w:tplc="BCB6365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4A23AD4"/>
    <w:multiLevelType w:val="hybridMultilevel"/>
    <w:tmpl w:val="15D2716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B607717"/>
    <w:multiLevelType w:val="hybridMultilevel"/>
    <w:tmpl w:val="82904152"/>
    <w:lvl w:ilvl="0" w:tplc="04090011">
      <w:start w:val="1"/>
      <w:numFmt w:val="decimal"/>
      <w:lvlText w:val="%1)"/>
      <w:lvlJc w:val="left"/>
      <w:pPr>
        <w:ind w:left="1287" w:hanging="360"/>
      </w:pPr>
    </w:lvl>
    <w:lvl w:ilvl="1" w:tplc="76620982">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8" w15:restartNumberingAfterBreak="0">
    <w:nsid w:val="63F73578"/>
    <w:multiLevelType w:val="multilevel"/>
    <w:tmpl w:val="F09E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6"/>
  </w:num>
  <w:num w:numId="6">
    <w:abstractNumId w:val="0"/>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63"/>
    <w:rsid w:val="00033C3C"/>
    <w:rsid w:val="000751A8"/>
    <w:rsid w:val="000809DA"/>
    <w:rsid w:val="00081DBF"/>
    <w:rsid w:val="0009066A"/>
    <w:rsid w:val="000D15EB"/>
    <w:rsid w:val="000F5FDE"/>
    <w:rsid w:val="00146DC2"/>
    <w:rsid w:val="00162251"/>
    <w:rsid w:val="0018729A"/>
    <w:rsid w:val="00192F97"/>
    <w:rsid w:val="00195BB2"/>
    <w:rsid w:val="001971CF"/>
    <w:rsid w:val="001A300F"/>
    <w:rsid w:val="001B1F5F"/>
    <w:rsid w:val="001C221F"/>
    <w:rsid w:val="001D1F14"/>
    <w:rsid w:val="001D76EF"/>
    <w:rsid w:val="001F57AE"/>
    <w:rsid w:val="0022093E"/>
    <w:rsid w:val="0023684C"/>
    <w:rsid w:val="00267A5C"/>
    <w:rsid w:val="002704D6"/>
    <w:rsid w:val="002A3924"/>
    <w:rsid w:val="002B1908"/>
    <w:rsid w:val="002B33E3"/>
    <w:rsid w:val="002E6816"/>
    <w:rsid w:val="002E6AA5"/>
    <w:rsid w:val="002F47E1"/>
    <w:rsid w:val="003146F1"/>
    <w:rsid w:val="0031629E"/>
    <w:rsid w:val="00316A92"/>
    <w:rsid w:val="00320F7B"/>
    <w:rsid w:val="0032109D"/>
    <w:rsid w:val="003216FA"/>
    <w:rsid w:val="00321F58"/>
    <w:rsid w:val="00322B43"/>
    <w:rsid w:val="0032465A"/>
    <w:rsid w:val="003257A6"/>
    <w:rsid w:val="00366EF7"/>
    <w:rsid w:val="00367936"/>
    <w:rsid w:val="00373BBE"/>
    <w:rsid w:val="0039050C"/>
    <w:rsid w:val="0039514E"/>
    <w:rsid w:val="003954B0"/>
    <w:rsid w:val="003A0AC5"/>
    <w:rsid w:val="003A3B64"/>
    <w:rsid w:val="003B46A2"/>
    <w:rsid w:val="003C18AE"/>
    <w:rsid w:val="003D26C5"/>
    <w:rsid w:val="003D2D56"/>
    <w:rsid w:val="003E5987"/>
    <w:rsid w:val="003E6449"/>
    <w:rsid w:val="00400895"/>
    <w:rsid w:val="00413B59"/>
    <w:rsid w:val="004178BE"/>
    <w:rsid w:val="00426AF5"/>
    <w:rsid w:val="004427E6"/>
    <w:rsid w:val="00453AE0"/>
    <w:rsid w:val="004665D0"/>
    <w:rsid w:val="00481A7A"/>
    <w:rsid w:val="00485E3F"/>
    <w:rsid w:val="0049391E"/>
    <w:rsid w:val="004C083F"/>
    <w:rsid w:val="004E0953"/>
    <w:rsid w:val="0050363B"/>
    <w:rsid w:val="005238EF"/>
    <w:rsid w:val="00530072"/>
    <w:rsid w:val="005657FC"/>
    <w:rsid w:val="005728EC"/>
    <w:rsid w:val="00575E22"/>
    <w:rsid w:val="005A7814"/>
    <w:rsid w:val="005C1261"/>
    <w:rsid w:val="005D6410"/>
    <w:rsid w:val="005F4466"/>
    <w:rsid w:val="00600CF6"/>
    <w:rsid w:val="006013DC"/>
    <w:rsid w:val="00605EDC"/>
    <w:rsid w:val="00606EAE"/>
    <w:rsid w:val="00615EB0"/>
    <w:rsid w:val="00661482"/>
    <w:rsid w:val="00666A18"/>
    <w:rsid w:val="00690E76"/>
    <w:rsid w:val="006A160B"/>
    <w:rsid w:val="006B7AD1"/>
    <w:rsid w:val="006C374E"/>
    <w:rsid w:val="0073238E"/>
    <w:rsid w:val="007642CF"/>
    <w:rsid w:val="007736D2"/>
    <w:rsid w:val="0079307E"/>
    <w:rsid w:val="007A7022"/>
    <w:rsid w:val="007C27FB"/>
    <w:rsid w:val="007E18E7"/>
    <w:rsid w:val="007F3E5C"/>
    <w:rsid w:val="00805160"/>
    <w:rsid w:val="00827E15"/>
    <w:rsid w:val="0083087C"/>
    <w:rsid w:val="00833C0F"/>
    <w:rsid w:val="0084142F"/>
    <w:rsid w:val="00841FF8"/>
    <w:rsid w:val="00847C6E"/>
    <w:rsid w:val="00876CE9"/>
    <w:rsid w:val="00877CBA"/>
    <w:rsid w:val="00884602"/>
    <w:rsid w:val="00884AEF"/>
    <w:rsid w:val="00887B36"/>
    <w:rsid w:val="00890525"/>
    <w:rsid w:val="008A6461"/>
    <w:rsid w:val="008A66CF"/>
    <w:rsid w:val="008E4EAE"/>
    <w:rsid w:val="008E7089"/>
    <w:rsid w:val="00903797"/>
    <w:rsid w:val="00904AC2"/>
    <w:rsid w:val="00905CCF"/>
    <w:rsid w:val="00916AFE"/>
    <w:rsid w:val="00950301"/>
    <w:rsid w:val="00951652"/>
    <w:rsid w:val="0097345D"/>
    <w:rsid w:val="0099392E"/>
    <w:rsid w:val="009962C6"/>
    <w:rsid w:val="009A6B9A"/>
    <w:rsid w:val="009C7E15"/>
    <w:rsid w:val="009D00FE"/>
    <w:rsid w:val="009D0601"/>
    <w:rsid w:val="009D1DD2"/>
    <w:rsid w:val="009D7C55"/>
    <w:rsid w:val="009E51ED"/>
    <w:rsid w:val="009E5E04"/>
    <w:rsid w:val="009F69D5"/>
    <w:rsid w:val="00A0110A"/>
    <w:rsid w:val="00A5027E"/>
    <w:rsid w:val="00A53FB3"/>
    <w:rsid w:val="00A601DC"/>
    <w:rsid w:val="00A66516"/>
    <w:rsid w:val="00A8501F"/>
    <w:rsid w:val="00AA6BC2"/>
    <w:rsid w:val="00AB1C1B"/>
    <w:rsid w:val="00AB5050"/>
    <w:rsid w:val="00AC089B"/>
    <w:rsid w:val="00AC0C2A"/>
    <w:rsid w:val="00AC32C6"/>
    <w:rsid w:val="00AC7B37"/>
    <w:rsid w:val="00AD0DA9"/>
    <w:rsid w:val="00AD3DC4"/>
    <w:rsid w:val="00AF10E3"/>
    <w:rsid w:val="00B63E34"/>
    <w:rsid w:val="00B7254F"/>
    <w:rsid w:val="00B75DCA"/>
    <w:rsid w:val="00B921CB"/>
    <w:rsid w:val="00BB2979"/>
    <w:rsid w:val="00BC1696"/>
    <w:rsid w:val="00BF2EC6"/>
    <w:rsid w:val="00C07CE6"/>
    <w:rsid w:val="00C11E43"/>
    <w:rsid w:val="00C50118"/>
    <w:rsid w:val="00C5090B"/>
    <w:rsid w:val="00C54145"/>
    <w:rsid w:val="00C677FB"/>
    <w:rsid w:val="00C77796"/>
    <w:rsid w:val="00C87286"/>
    <w:rsid w:val="00C875EF"/>
    <w:rsid w:val="00CB4EC0"/>
    <w:rsid w:val="00CD0FEA"/>
    <w:rsid w:val="00CD7D75"/>
    <w:rsid w:val="00CE3B97"/>
    <w:rsid w:val="00CE74DA"/>
    <w:rsid w:val="00CF166E"/>
    <w:rsid w:val="00D10063"/>
    <w:rsid w:val="00D14014"/>
    <w:rsid w:val="00D17E2B"/>
    <w:rsid w:val="00D23F67"/>
    <w:rsid w:val="00D420FE"/>
    <w:rsid w:val="00D60619"/>
    <w:rsid w:val="00D75CA5"/>
    <w:rsid w:val="00D76F41"/>
    <w:rsid w:val="00D8651E"/>
    <w:rsid w:val="00D906E2"/>
    <w:rsid w:val="00D97E47"/>
    <w:rsid w:val="00DA0AE6"/>
    <w:rsid w:val="00DA2EA9"/>
    <w:rsid w:val="00DB1A14"/>
    <w:rsid w:val="00DB34FB"/>
    <w:rsid w:val="00DC27FA"/>
    <w:rsid w:val="00DE65CC"/>
    <w:rsid w:val="00DF09CA"/>
    <w:rsid w:val="00DF2817"/>
    <w:rsid w:val="00E21F10"/>
    <w:rsid w:val="00E3578F"/>
    <w:rsid w:val="00E407CE"/>
    <w:rsid w:val="00E60DEC"/>
    <w:rsid w:val="00E800C6"/>
    <w:rsid w:val="00E90C06"/>
    <w:rsid w:val="00EA3510"/>
    <w:rsid w:val="00EA51C6"/>
    <w:rsid w:val="00EC664B"/>
    <w:rsid w:val="00EC7CF0"/>
    <w:rsid w:val="00EE648C"/>
    <w:rsid w:val="00EE6693"/>
    <w:rsid w:val="00EE6764"/>
    <w:rsid w:val="00EF0AE5"/>
    <w:rsid w:val="00EF72F9"/>
    <w:rsid w:val="00F02979"/>
    <w:rsid w:val="00F31776"/>
    <w:rsid w:val="00F36763"/>
    <w:rsid w:val="00F46B25"/>
    <w:rsid w:val="00F5310F"/>
    <w:rsid w:val="00F54131"/>
    <w:rsid w:val="00F73E0F"/>
    <w:rsid w:val="00F82156"/>
    <w:rsid w:val="00FD3368"/>
    <w:rsid w:val="00FE39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CD877"/>
  <w15:chartTrackingRefBased/>
  <w15:docId w15:val="{9D3112B1-3E1B-4502-B410-EFA85EF4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297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1908"/>
    <w:rPr>
      <w:color w:val="0563C1"/>
      <w:u w:val="single"/>
    </w:rPr>
  </w:style>
  <w:style w:type="paragraph" w:styleId="ListParagraph">
    <w:name w:val="List Paragraph"/>
    <w:basedOn w:val="Normal"/>
    <w:uiPriority w:val="34"/>
    <w:qFormat/>
    <w:rsid w:val="00BC1696"/>
    <w:pPr>
      <w:ind w:left="720"/>
    </w:pPr>
  </w:style>
  <w:style w:type="paragraph" w:styleId="NoSpacing">
    <w:name w:val="No Spacing"/>
    <w:uiPriority w:val="1"/>
    <w:qFormat/>
    <w:rsid w:val="008E4EAE"/>
    <w:rPr>
      <w:sz w:val="22"/>
      <w:szCs w:val="22"/>
    </w:rPr>
  </w:style>
  <w:style w:type="character" w:styleId="CommentReference">
    <w:name w:val="annotation reference"/>
    <w:uiPriority w:val="99"/>
    <w:semiHidden/>
    <w:unhideWhenUsed/>
    <w:rsid w:val="00DC27FA"/>
    <w:rPr>
      <w:sz w:val="16"/>
      <w:szCs w:val="16"/>
    </w:rPr>
  </w:style>
  <w:style w:type="paragraph" w:styleId="CommentText">
    <w:name w:val="annotation text"/>
    <w:basedOn w:val="Normal"/>
    <w:link w:val="CommentTextChar"/>
    <w:uiPriority w:val="99"/>
    <w:semiHidden/>
    <w:unhideWhenUsed/>
    <w:rsid w:val="00DC27FA"/>
    <w:rPr>
      <w:sz w:val="20"/>
      <w:szCs w:val="20"/>
    </w:rPr>
  </w:style>
  <w:style w:type="character" w:customStyle="1" w:styleId="CommentTextChar">
    <w:name w:val="Comment Text Char"/>
    <w:link w:val="CommentText"/>
    <w:uiPriority w:val="99"/>
    <w:semiHidden/>
    <w:rsid w:val="00DC27FA"/>
    <w:rPr>
      <w:lang w:val="en-US" w:eastAsia="en-US"/>
    </w:rPr>
  </w:style>
  <w:style w:type="paragraph" w:styleId="CommentSubject">
    <w:name w:val="annotation subject"/>
    <w:basedOn w:val="CommentText"/>
    <w:next w:val="CommentText"/>
    <w:link w:val="CommentSubjectChar"/>
    <w:uiPriority w:val="99"/>
    <w:semiHidden/>
    <w:unhideWhenUsed/>
    <w:rsid w:val="00DC27FA"/>
    <w:rPr>
      <w:b/>
      <w:bCs/>
    </w:rPr>
  </w:style>
  <w:style w:type="character" w:customStyle="1" w:styleId="CommentSubjectChar">
    <w:name w:val="Comment Subject Char"/>
    <w:link w:val="CommentSubject"/>
    <w:uiPriority w:val="99"/>
    <w:semiHidden/>
    <w:rsid w:val="00DC27FA"/>
    <w:rPr>
      <w:b/>
      <w:bCs/>
      <w:lang w:val="en-US" w:eastAsia="en-US"/>
    </w:rPr>
  </w:style>
  <w:style w:type="paragraph" w:styleId="BalloonText">
    <w:name w:val="Balloon Text"/>
    <w:basedOn w:val="Normal"/>
    <w:link w:val="BalloonTextChar"/>
    <w:uiPriority w:val="99"/>
    <w:semiHidden/>
    <w:unhideWhenUsed/>
    <w:rsid w:val="00DC27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C27FA"/>
    <w:rPr>
      <w:rFonts w:ascii="Segoe UI" w:hAnsi="Segoe UI" w:cs="Segoe UI"/>
      <w:sz w:val="18"/>
      <w:szCs w:val="18"/>
      <w:lang w:val="en-US" w:eastAsia="en-US"/>
    </w:rPr>
  </w:style>
  <w:style w:type="paragraph" w:styleId="Header">
    <w:name w:val="header"/>
    <w:basedOn w:val="Normal"/>
    <w:link w:val="HeaderChar"/>
    <w:uiPriority w:val="99"/>
    <w:unhideWhenUsed/>
    <w:rsid w:val="00EE6693"/>
    <w:pPr>
      <w:tabs>
        <w:tab w:val="center" w:pos="4680"/>
        <w:tab w:val="right" w:pos="9360"/>
      </w:tabs>
    </w:pPr>
  </w:style>
  <w:style w:type="character" w:customStyle="1" w:styleId="HeaderChar">
    <w:name w:val="Header Char"/>
    <w:link w:val="Header"/>
    <w:uiPriority w:val="99"/>
    <w:rsid w:val="00EE6693"/>
    <w:rPr>
      <w:sz w:val="22"/>
      <w:szCs w:val="22"/>
      <w:lang w:val="en-US" w:eastAsia="en-US"/>
    </w:rPr>
  </w:style>
  <w:style w:type="paragraph" w:styleId="Footer">
    <w:name w:val="footer"/>
    <w:basedOn w:val="Normal"/>
    <w:link w:val="FooterChar"/>
    <w:uiPriority w:val="99"/>
    <w:unhideWhenUsed/>
    <w:rsid w:val="00EE6693"/>
    <w:pPr>
      <w:tabs>
        <w:tab w:val="center" w:pos="4680"/>
        <w:tab w:val="right" w:pos="9360"/>
      </w:tabs>
    </w:pPr>
  </w:style>
  <w:style w:type="character" w:customStyle="1" w:styleId="FooterChar">
    <w:name w:val="Footer Char"/>
    <w:link w:val="Footer"/>
    <w:uiPriority w:val="99"/>
    <w:rsid w:val="00EE6693"/>
    <w:rPr>
      <w:sz w:val="22"/>
      <w:szCs w:val="22"/>
      <w:lang w:val="en-US" w:eastAsia="en-US"/>
    </w:rPr>
  </w:style>
  <w:style w:type="character" w:styleId="Strong">
    <w:name w:val="Strong"/>
    <w:basedOn w:val="DefaultParagraphFont"/>
    <w:uiPriority w:val="22"/>
    <w:qFormat/>
    <w:rsid w:val="000809DA"/>
    <w:rPr>
      <w:b/>
      <w:bCs/>
    </w:rPr>
  </w:style>
  <w:style w:type="paragraph" w:styleId="Bibliography">
    <w:name w:val="Bibliography"/>
    <w:basedOn w:val="Normal"/>
    <w:next w:val="Normal"/>
    <w:uiPriority w:val="37"/>
    <w:semiHidden/>
    <w:unhideWhenUsed/>
    <w:rsid w:val="00732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9120">
      <w:bodyDiv w:val="1"/>
      <w:marLeft w:val="0"/>
      <w:marRight w:val="0"/>
      <w:marTop w:val="0"/>
      <w:marBottom w:val="0"/>
      <w:divBdr>
        <w:top w:val="none" w:sz="0" w:space="0" w:color="auto"/>
        <w:left w:val="none" w:sz="0" w:space="0" w:color="auto"/>
        <w:bottom w:val="none" w:sz="0" w:space="0" w:color="auto"/>
        <w:right w:val="none" w:sz="0" w:space="0" w:color="auto"/>
      </w:divBdr>
    </w:div>
    <w:div w:id="218128775">
      <w:bodyDiv w:val="1"/>
      <w:marLeft w:val="0"/>
      <w:marRight w:val="0"/>
      <w:marTop w:val="0"/>
      <w:marBottom w:val="0"/>
      <w:divBdr>
        <w:top w:val="none" w:sz="0" w:space="0" w:color="auto"/>
        <w:left w:val="none" w:sz="0" w:space="0" w:color="auto"/>
        <w:bottom w:val="none" w:sz="0" w:space="0" w:color="auto"/>
        <w:right w:val="none" w:sz="0" w:space="0" w:color="auto"/>
      </w:divBdr>
    </w:div>
    <w:div w:id="239485414">
      <w:bodyDiv w:val="1"/>
      <w:marLeft w:val="0"/>
      <w:marRight w:val="0"/>
      <w:marTop w:val="0"/>
      <w:marBottom w:val="0"/>
      <w:divBdr>
        <w:top w:val="none" w:sz="0" w:space="0" w:color="auto"/>
        <w:left w:val="none" w:sz="0" w:space="0" w:color="auto"/>
        <w:bottom w:val="none" w:sz="0" w:space="0" w:color="auto"/>
        <w:right w:val="none" w:sz="0" w:space="0" w:color="auto"/>
      </w:divBdr>
    </w:div>
    <w:div w:id="315038395">
      <w:bodyDiv w:val="1"/>
      <w:marLeft w:val="0"/>
      <w:marRight w:val="0"/>
      <w:marTop w:val="0"/>
      <w:marBottom w:val="0"/>
      <w:divBdr>
        <w:top w:val="none" w:sz="0" w:space="0" w:color="auto"/>
        <w:left w:val="none" w:sz="0" w:space="0" w:color="auto"/>
        <w:bottom w:val="none" w:sz="0" w:space="0" w:color="auto"/>
        <w:right w:val="none" w:sz="0" w:space="0" w:color="auto"/>
      </w:divBdr>
    </w:div>
    <w:div w:id="502160012">
      <w:bodyDiv w:val="1"/>
      <w:marLeft w:val="0"/>
      <w:marRight w:val="0"/>
      <w:marTop w:val="0"/>
      <w:marBottom w:val="0"/>
      <w:divBdr>
        <w:top w:val="none" w:sz="0" w:space="0" w:color="auto"/>
        <w:left w:val="none" w:sz="0" w:space="0" w:color="auto"/>
        <w:bottom w:val="none" w:sz="0" w:space="0" w:color="auto"/>
        <w:right w:val="none" w:sz="0" w:space="0" w:color="auto"/>
      </w:divBdr>
    </w:div>
    <w:div w:id="626787357">
      <w:bodyDiv w:val="1"/>
      <w:marLeft w:val="0"/>
      <w:marRight w:val="0"/>
      <w:marTop w:val="0"/>
      <w:marBottom w:val="0"/>
      <w:divBdr>
        <w:top w:val="none" w:sz="0" w:space="0" w:color="auto"/>
        <w:left w:val="none" w:sz="0" w:space="0" w:color="auto"/>
        <w:bottom w:val="none" w:sz="0" w:space="0" w:color="auto"/>
        <w:right w:val="none" w:sz="0" w:space="0" w:color="auto"/>
      </w:divBdr>
    </w:div>
    <w:div w:id="951474102">
      <w:bodyDiv w:val="1"/>
      <w:marLeft w:val="0"/>
      <w:marRight w:val="0"/>
      <w:marTop w:val="0"/>
      <w:marBottom w:val="0"/>
      <w:divBdr>
        <w:top w:val="none" w:sz="0" w:space="0" w:color="auto"/>
        <w:left w:val="none" w:sz="0" w:space="0" w:color="auto"/>
        <w:bottom w:val="none" w:sz="0" w:space="0" w:color="auto"/>
        <w:right w:val="none" w:sz="0" w:space="0" w:color="auto"/>
      </w:divBdr>
    </w:div>
    <w:div w:id="981881992">
      <w:bodyDiv w:val="1"/>
      <w:marLeft w:val="0"/>
      <w:marRight w:val="0"/>
      <w:marTop w:val="0"/>
      <w:marBottom w:val="0"/>
      <w:divBdr>
        <w:top w:val="none" w:sz="0" w:space="0" w:color="auto"/>
        <w:left w:val="none" w:sz="0" w:space="0" w:color="auto"/>
        <w:bottom w:val="none" w:sz="0" w:space="0" w:color="auto"/>
        <w:right w:val="none" w:sz="0" w:space="0" w:color="auto"/>
      </w:divBdr>
    </w:div>
    <w:div w:id="1059480861">
      <w:bodyDiv w:val="1"/>
      <w:marLeft w:val="0"/>
      <w:marRight w:val="0"/>
      <w:marTop w:val="0"/>
      <w:marBottom w:val="0"/>
      <w:divBdr>
        <w:top w:val="none" w:sz="0" w:space="0" w:color="auto"/>
        <w:left w:val="none" w:sz="0" w:space="0" w:color="auto"/>
        <w:bottom w:val="none" w:sz="0" w:space="0" w:color="auto"/>
        <w:right w:val="none" w:sz="0" w:space="0" w:color="auto"/>
      </w:divBdr>
    </w:div>
    <w:div w:id="127331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LE%20ISTRI\PPPK\TEMPLATE%20NCA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7C487-0B65-4504-AC90-048B8373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NCAF</Template>
  <TotalTime>8</TotalTime>
  <Pages>15</Pages>
  <Words>6440</Words>
  <Characters>37636</Characters>
  <DocSecurity>0</DocSecurity>
  <Lines>801</Lines>
  <Paragraphs>339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43752</CharactersWithSpaces>
  <SharedDoc>false</SharedDoc>
  <HLinks>
    <vt:vector size="12" baseType="variant">
      <vt:variant>
        <vt:i4>3014716</vt:i4>
      </vt:variant>
      <vt:variant>
        <vt:i4>3</vt:i4>
      </vt:variant>
      <vt:variant>
        <vt:i4>0</vt:i4>
      </vt:variant>
      <vt:variant>
        <vt:i4>5</vt:i4>
      </vt:variant>
      <vt:variant>
        <vt:lpwstr>https://www.liputan6.com/news/read/3301542/daya-saing-infrastruktur-indonesia-melonjak-naik</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2024-01-19T15:13:00Z</dcterms:created>
  <dcterms:modified xsi:type="dcterms:W3CDTF">2024-01-19T15:15:00Z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a19e394c94f3e6522104115db7c0ef26f3b81491eb6c2b65ca34fbbad31cf4d3</vt:lpwstr>
  </property>
  <property fmtid="{D5CDD505-2E9C-101B-9397-08002B2CF9AE}" pid="3" name="ZOTERO_PREF_1">
    <vt:lpwstr>&lt;data data-version="3" zotero-version="6.0.30"&gt;&lt;session id="TTGuOda7"/&gt;&lt;style id="http://www.zotero.org/styles/apa" locale="en-US" hasBibliography="1" bibliographyStyleHasBeenSet="0"/&gt;&lt;prefs&gt;&lt;pref name="fieldType" value="Field"/&gt;&lt;/prefs&gt;&lt;/data&gt;</vt:lpwstr>
  </property>
</Properties>
</file>