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C77E3" w14:textId="3DCCBBD4" w:rsidR="008C0665" w:rsidRDefault="00171EBB" w:rsidP="008C0665">
      <w:pPr>
        <w:spacing w:after="0" w:line="240" w:lineRule="auto"/>
        <w:jc w:val="center"/>
        <w:rPr>
          <w:rFonts w:ascii="Calibri" w:hAnsi="Calibri" w:cs="Calibri"/>
          <w:sz w:val="24"/>
          <w:szCs w:val="24"/>
        </w:rPr>
      </w:pPr>
      <w:r w:rsidRPr="008A6C23">
        <w:rPr>
          <w:rFonts w:ascii="Calibri" w:hAnsi="Calibri"/>
          <w:b/>
          <w:bCs/>
          <w:sz w:val="24"/>
          <w:szCs w:val="28"/>
          <w:lang w:val="en-GB"/>
        </w:rPr>
        <w:t>ARABIC COMMUNICATION READINESS:</w:t>
      </w:r>
      <w:r w:rsidRPr="00171EBB">
        <w:rPr>
          <w:rFonts w:ascii="Calibri" w:hAnsi="Calibri"/>
          <w:b/>
          <w:bCs/>
          <w:sz w:val="24"/>
          <w:szCs w:val="28"/>
          <w:lang w:val="en-GB"/>
        </w:rPr>
        <w:t xml:space="preserve"> DETERMINING THE ATTITUDES TOWARDS ARABIC COMMUNICATION </w:t>
      </w:r>
      <w:r w:rsidR="008C0665" w:rsidRPr="008C0665">
        <w:rPr>
          <w:rFonts w:ascii="Calibri" w:hAnsi="Calibri"/>
          <w:b/>
          <w:bCs/>
          <w:sz w:val="24"/>
          <w:szCs w:val="28"/>
          <w:lang w:val="en-GB"/>
        </w:rPr>
        <w:t xml:space="preserve">AMONG </w:t>
      </w:r>
      <w:r w:rsidR="008C0665" w:rsidRPr="008C0665">
        <w:rPr>
          <w:rFonts w:ascii="Calibri" w:hAnsi="Calibri" w:cs="Calibri"/>
          <w:b/>
          <w:bCs/>
          <w:sz w:val="24"/>
          <w:szCs w:val="24"/>
        </w:rPr>
        <w:t>STUDENTS OF KOLEJ UNIVERSITI ISLAM PERLIS</w:t>
      </w:r>
    </w:p>
    <w:p w14:paraId="5866933A" w14:textId="77777777" w:rsidR="008A6C23" w:rsidRDefault="008A6C23" w:rsidP="008C0665">
      <w:pPr>
        <w:spacing w:after="0" w:line="240" w:lineRule="auto"/>
        <w:rPr>
          <w:rFonts w:ascii="Calibri" w:hAnsi="Calibri" w:cs="Calibri"/>
          <w:color w:val="FF0000"/>
          <w:sz w:val="24"/>
          <w:szCs w:val="24"/>
        </w:rPr>
      </w:pPr>
    </w:p>
    <w:p w14:paraId="5B975E0C" w14:textId="77777777" w:rsidR="008A6C23" w:rsidRPr="008A6C23" w:rsidRDefault="008A6C23" w:rsidP="008A6C23">
      <w:pPr>
        <w:spacing w:after="0" w:line="240" w:lineRule="auto"/>
        <w:jc w:val="both"/>
        <w:rPr>
          <w:rFonts w:ascii="Calibri" w:hAnsi="Calibri" w:cs="Calibri"/>
          <w:b/>
          <w:bCs/>
          <w:color w:val="000000" w:themeColor="text1"/>
          <w:sz w:val="24"/>
          <w:szCs w:val="24"/>
        </w:rPr>
      </w:pPr>
      <w:r w:rsidRPr="008A6C23">
        <w:rPr>
          <w:rFonts w:ascii="Calibri" w:hAnsi="Calibri" w:cs="Calibri"/>
          <w:b/>
          <w:bCs/>
          <w:color w:val="000000" w:themeColor="text1"/>
          <w:sz w:val="24"/>
          <w:szCs w:val="24"/>
        </w:rPr>
        <w:t>Abstract</w:t>
      </w:r>
    </w:p>
    <w:p w14:paraId="58FFCE12" w14:textId="77777777" w:rsidR="008A6C23" w:rsidRPr="008A6C23" w:rsidRDefault="008A6C23" w:rsidP="008A6C23">
      <w:pPr>
        <w:spacing w:after="0" w:line="240" w:lineRule="auto"/>
        <w:jc w:val="both"/>
        <w:rPr>
          <w:rFonts w:ascii="Calibri" w:hAnsi="Calibri" w:cs="Calibri"/>
          <w:color w:val="000000" w:themeColor="text1"/>
          <w:sz w:val="24"/>
          <w:szCs w:val="24"/>
        </w:rPr>
      </w:pPr>
      <w:r w:rsidRPr="008A6C23">
        <w:rPr>
          <w:rFonts w:ascii="Calibri" w:hAnsi="Calibri" w:cs="Calibri"/>
          <w:color w:val="000000" w:themeColor="text1"/>
          <w:sz w:val="24"/>
          <w:szCs w:val="24"/>
        </w:rPr>
        <w:t xml:space="preserve">Communicating in Arabic among non-native speakers is foreign and it becomes difficult for students who have never studied Arabic. However, it is different for students who have studied Arabic. This is because, communicating in a second language requires learning and specific skills. This study is conducted with the aim of identifying the level of Arabic language communication attitude and the level of readiness to communicate in Arabic among the students of Kolej </w:t>
      </w:r>
      <w:proofErr w:type="spellStart"/>
      <w:r w:rsidRPr="008A6C23">
        <w:rPr>
          <w:rFonts w:ascii="Calibri" w:hAnsi="Calibri" w:cs="Calibri"/>
          <w:color w:val="000000" w:themeColor="text1"/>
          <w:sz w:val="24"/>
          <w:szCs w:val="24"/>
        </w:rPr>
        <w:t>Universiti</w:t>
      </w:r>
      <w:proofErr w:type="spellEnd"/>
      <w:r w:rsidRPr="008A6C23">
        <w:rPr>
          <w:rFonts w:ascii="Calibri" w:hAnsi="Calibri" w:cs="Calibri"/>
          <w:color w:val="000000" w:themeColor="text1"/>
          <w:sz w:val="24"/>
          <w:szCs w:val="24"/>
        </w:rPr>
        <w:t xml:space="preserve"> Islam Perlis. This study is conducted on 150 students at Kolej </w:t>
      </w:r>
      <w:proofErr w:type="spellStart"/>
      <w:r w:rsidRPr="008A6C23">
        <w:rPr>
          <w:rFonts w:ascii="Calibri" w:hAnsi="Calibri" w:cs="Calibri"/>
          <w:color w:val="000000" w:themeColor="text1"/>
          <w:sz w:val="24"/>
          <w:szCs w:val="24"/>
        </w:rPr>
        <w:t>Universiti</w:t>
      </w:r>
      <w:proofErr w:type="spellEnd"/>
      <w:r w:rsidRPr="008A6C23">
        <w:rPr>
          <w:rFonts w:ascii="Calibri" w:hAnsi="Calibri" w:cs="Calibri"/>
          <w:color w:val="000000" w:themeColor="text1"/>
          <w:sz w:val="24"/>
          <w:szCs w:val="24"/>
        </w:rPr>
        <w:t xml:space="preserve"> Islam Perlis. This study is a quantitative study using questionnaire instruments to obtain data related to the level of readiness to communicate and attitude to communicate. Correlation analysis is used to determine the relationship between two variables. Findings show that students' readiness to communicate on average is at a moderate level (M = 3.5703). On average, the students' communication attitude level is high (M = 3.9248). Correlation analysis shows that there is a significant positive relationship between the attitude to communicate in Arabic and the readiness to communicate in Arabic which is supported by the correlation coefficient (r = 0.787, p &lt; 0.01). Therefore, in increasing the level of readiness to communicate in Arabic, students' attitude is one of the important factors that can have a high impact and affect students' interest and readiness to communicate in Arabic. The higher the students' attitude, the higher their level of readiness to communicate in Arabic.</w:t>
      </w:r>
    </w:p>
    <w:p w14:paraId="3FA9D57F" w14:textId="77777777" w:rsidR="008A6C23" w:rsidRDefault="008A6C23" w:rsidP="008A6C23">
      <w:pPr>
        <w:spacing w:after="0" w:line="240" w:lineRule="auto"/>
        <w:jc w:val="both"/>
        <w:rPr>
          <w:rFonts w:ascii="Calibri" w:hAnsi="Calibri" w:cs="Calibri"/>
          <w:color w:val="000000" w:themeColor="text1"/>
          <w:sz w:val="24"/>
          <w:szCs w:val="24"/>
          <w:lang w:val="en-US"/>
        </w:rPr>
      </w:pPr>
      <w:r w:rsidRPr="008A6C23">
        <w:rPr>
          <w:rFonts w:ascii="Calibri" w:hAnsi="Calibri" w:cs="Calibri"/>
          <w:b/>
          <w:bCs/>
          <w:color w:val="000000" w:themeColor="text1"/>
          <w:sz w:val="24"/>
          <w:szCs w:val="24"/>
        </w:rPr>
        <w:t>Keywords</w:t>
      </w:r>
      <w:r w:rsidRPr="008A6C23">
        <w:rPr>
          <w:rFonts w:ascii="Calibri" w:hAnsi="Calibri" w:cs="Calibri"/>
          <w:color w:val="000000" w:themeColor="text1"/>
          <w:sz w:val="24"/>
          <w:szCs w:val="24"/>
        </w:rPr>
        <w:t xml:space="preserve">: Attitude, Readiness, Communication, Arabic, </w:t>
      </w:r>
      <w:r w:rsidRPr="008A6C23">
        <w:rPr>
          <w:rFonts w:ascii="Calibri" w:hAnsi="Calibri" w:cs="Calibri"/>
          <w:color w:val="000000" w:themeColor="text1"/>
          <w:sz w:val="24"/>
          <w:szCs w:val="24"/>
          <w:lang w:val="en-US"/>
        </w:rPr>
        <w:t xml:space="preserve">Kolej </w:t>
      </w:r>
      <w:proofErr w:type="spellStart"/>
      <w:r w:rsidRPr="008A6C23">
        <w:rPr>
          <w:rFonts w:ascii="Calibri" w:hAnsi="Calibri" w:cs="Calibri"/>
          <w:color w:val="000000" w:themeColor="text1"/>
          <w:sz w:val="24"/>
          <w:szCs w:val="24"/>
          <w:lang w:val="en-US"/>
        </w:rPr>
        <w:t>Universiti</w:t>
      </w:r>
      <w:proofErr w:type="spellEnd"/>
      <w:r w:rsidRPr="008A6C23">
        <w:rPr>
          <w:rFonts w:ascii="Calibri" w:hAnsi="Calibri" w:cs="Calibri"/>
          <w:color w:val="000000" w:themeColor="text1"/>
          <w:sz w:val="24"/>
          <w:szCs w:val="24"/>
          <w:lang w:val="en-US"/>
        </w:rPr>
        <w:t xml:space="preserve"> Islam Perlis</w:t>
      </w:r>
    </w:p>
    <w:p w14:paraId="206F7283" w14:textId="77777777" w:rsidR="008A6C23" w:rsidRPr="008A6C23" w:rsidRDefault="008A6C23" w:rsidP="008A6C23">
      <w:pPr>
        <w:spacing w:after="0" w:line="240" w:lineRule="auto"/>
        <w:jc w:val="both"/>
        <w:rPr>
          <w:rFonts w:ascii="Calibri" w:hAnsi="Calibri" w:cs="Calibri"/>
          <w:b/>
          <w:bCs/>
          <w:color w:val="FF0000"/>
          <w:sz w:val="24"/>
          <w:szCs w:val="24"/>
        </w:rPr>
      </w:pPr>
    </w:p>
    <w:p w14:paraId="2E5ADF2F" w14:textId="1D040E6B" w:rsidR="008A6C23" w:rsidRPr="008A6C23" w:rsidRDefault="008A6C23" w:rsidP="008A6C23">
      <w:pPr>
        <w:spacing w:after="0" w:line="240" w:lineRule="auto"/>
        <w:jc w:val="both"/>
        <w:rPr>
          <w:rFonts w:ascii="Calibri" w:hAnsi="Calibri" w:cs="Calibri"/>
          <w:b/>
          <w:bCs/>
          <w:color w:val="FF0000"/>
          <w:sz w:val="24"/>
          <w:szCs w:val="24"/>
        </w:rPr>
      </w:pPr>
      <w:r w:rsidRPr="008A6C23">
        <w:rPr>
          <w:rFonts w:ascii="Calibri" w:hAnsi="Calibri" w:cs="Calibri"/>
          <w:b/>
          <w:bCs/>
          <w:color w:val="000000" w:themeColor="text1"/>
          <w:sz w:val="24"/>
          <w:szCs w:val="24"/>
          <w:lang w:val="en-US"/>
        </w:rPr>
        <w:t>Introduction</w:t>
      </w:r>
    </w:p>
    <w:p w14:paraId="6F30E5AA" w14:textId="5B021A11" w:rsidR="008A6C23" w:rsidRPr="008A6C23" w:rsidRDefault="008A6C23" w:rsidP="008A6C23">
      <w:pPr>
        <w:spacing w:after="0" w:line="240" w:lineRule="auto"/>
        <w:jc w:val="both"/>
        <w:rPr>
          <w:rFonts w:ascii="Calibri" w:hAnsi="Calibri" w:cs="Calibri"/>
          <w:sz w:val="24"/>
          <w:szCs w:val="24"/>
        </w:rPr>
      </w:pPr>
      <w:r w:rsidRPr="008A6C23">
        <w:rPr>
          <w:rFonts w:ascii="Calibri" w:hAnsi="Calibri" w:cs="Calibri"/>
          <w:sz w:val="24"/>
          <w:szCs w:val="24"/>
        </w:rPr>
        <w:t xml:space="preserve">Language is a communication tool used by individuals to interact with and deliver messages to others. The communication process is a process related to human actions with themselves, with other people and also with their environment (Syed </w:t>
      </w:r>
      <w:proofErr w:type="spellStart"/>
      <w:r w:rsidRPr="008A6C23">
        <w:rPr>
          <w:rFonts w:ascii="Calibri" w:hAnsi="Calibri" w:cs="Calibri"/>
          <w:sz w:val="24"/>
          <w:szCs w:val="24"/>
        </w:rPr>
        <w:t>Mahussain</w:t>
      </w:r>
      <w:proofErr w:type="spellEnd"/>
      <w:r w:rsidRPr="008A6C23">
        <w:rPr>
          <w:rFonts w:ascii="Calibri" w:hAnsi="Calibri" w:cs="Calibri"/>
          <w:sz w:val="24"/>
          <w:szCs w:val="24"/>
        </w:rPr>
        <w:t xml:space="preserve"> &amp; </w:t>
      </w:r>
      <w:proofErr w:type="spellStart"/>
      <w:r w:rsidRPr="008A6C23">
        <w:rPr>
          <w:rFonts w:ascii="Calibri" w:hAnsi="Calibri" w:cs="Calibri"/>
          <w:sz w:val="24"/>
          <w:szCs w:val="24"/>
        </w:rPr>
        <w:t>Fathian</w:t>
      </w:r>
      <w:proofErr w:type="spellEnd"/>
      <w:r w:rsidRPr="008A6C23">
        <w:rPr>
          <w:rFonts w:ascii="Calibri" w:hAnsi="Calibri" w:cs="Calibri"/>
          <w:sz w:val="24"/>
          <w:szCs w:val="24"/>
        </w:rPr>
        <w:t>, 2009). However, language constraints arise when more than one language is used to communicate, whether in oral or written form (</w:t>
      </w:r>
      <w:proofErr w:type="spellStart"/>
      <w:r w:rsidRPr="008A6C23">
        <w:rPr>
          <w:rFonts w:ascii="Calibri" w:hAnsi="Calibri" w:cs="Calibri"/>
          <w:sz w:val="24"/>
          <w:szCs w:val="24"/>
        </w:rPr>
        <w:t>Hazlina</w:t>
      </w:r>
      <w:proofErr w:type="spellEnd"/>
      <w:r w:rsidRPr="008A6C23">
        <w:rPr>
          <w:rFonts w:ascii="Calibri" w:hAnsi="Calibri" w:cs="Calibri"/>
          <w:sz w:val="24"/>
          <w:szCs w:val="24"/>
        </w:rPr>
        <w:t xml:space="preserve"> Abdul Halim et. al, 2013). It can cause the message delivered to be completely incomprehensible to those whose mother tongue is different. Arabic, for example, is a foreign language that is used as a tool to communicate orally and in writing in </w:t>
      </w:r>
      <w:r w:rsidRPr="008A6C23">
        <w:rPr>
          <w:rFonts w:ascii="Calibri" w:hAnsi="Calibri" w:cs="Calibri"/>
          <w:sz w:val="24"/>
          <w:szCs w:val="24"/>
          <w:lang w:val="en-US"/>
        </w:rPr>
        <w:t xml:space="preserve">Malaysian </w:t>
      </w:r>
      <w:r w:rsidRPr="008A6C23">
        <w:rPr>
          <w:rFonts w:ascii="Calibri" w:hAnsi="Calibri" w:cs="Calibri"/>
          <w:sz w:val="24"/>
          <w:szCs w:val="24"/>
        </w:rPr>
        <w:t xml:space="preserve">learning </w:t>
      </w:r>
      <w:proofErr w:type="spellStart"/>
      <w:r w:rsidRPr="008A6C23">
        <w:rPr>
          <w:rFonts w:ascii="Calibri" w:hAnsi="Calibri" w:cs="Calibri"/>
          <w:sz w:val="24"/>
          <w:szCs w:val="24"/>
        </w:rPr>
        <w:t>centers</w:t>
      </w:r>
      <w:proofErr w:type="spellEnd"/>
      <w:r w:rsidRPr="008A6C23">
        <w:rPr>
          <w:rFonts w:ascii="Calibri" w:hAnsi="Calibri" w:cs="Calibri"/>
          <w:sz w:val="24"/>
          <w:szCs w:val="24"/>
        </w:rPr>
        <w:t xml:space="preserve">, including at schools and higher education levels. In fact, Arabic is no longer learned by students of religious schools only; it is even offered at various levels of formal education, whether at preschool, primary school, secondary school, college, or university (Muhammad Sabri </w:t>
      </w:r>
      <w:proofErr w:type="spellStart"/>
      <w:r w:rsidRPr="008A6C23">
        <w:rPr>
          <w:rFonts w:ascii="Calibri" w:hAnsi="Calibri" w:cs="Calibri"/>
          <w:sz w:val="24"/>
          <w:szCs w:val="24"/>
        </w:rPr>
        <w:t>Sahrir</w:t>
      </w:r>
      <w:proofErr w:type="spellEnd"/>
      <w:r w:rsidRPr="008A6C23">
        <w:rPr>
          <w:rFonts w:ascii="Calibri" w:hAnsi="Calibri" w:cs="Calibri"/>
          <w:sz w:val="24"/>
          <w:szCs w:val="24"/>
        </w:rPr>
        <w:t>, 2015).</w:t>
      </w:r>
    </w:p>
    <w:p w14:paraId="41E7918F" w14:textId="77777777" w:rsidR="008A6C23" w:rsidRPr="008A6C23" w:rsidRDefault="008A6C23" w:rsidP="008A6C23">
      <w:pPr>
        <w:spacing w:after="0" w:line="240" w:lineRule="auto"/>
        <w:ind w:firstLine="720"/>
        <w:jc w:val="both"/>
        <w:rPr>
          <w:rFonts w:ascii="Calibri" w:hAnsi="Calibri" w:cs="Calibri"/>
          <w:sz w:val="24"/>
          <w:szCs w:val="24"/>
        </w:rPr>
      </w:pPr>
      <w:r w:rsidRPr="008A6C23">
        <w:rPr>
          <w:rFonts w:ascii="Calibri" w:hAnsi="Calibri" w:cs="Calibri"/>
          <w:sz w:val="24"/>
          <w:szCs w:val="24"/>
        </w:rPr>
        <w:t xml:space="preserve">Learning Arabic at the Institute of Higher Education (IPT) level as a foreign language is no longer a new thing. In recent years, the teaching of Arabic has been very popular in non-religious schools as well as in public institutes of higher education (IPTA) and private institutes of higher education (IPTS) (Azman Che Mat, 2013). Due to that, IPT plays an important role in supporting efforts to apply the Arabic language to students learning, especially those who are in religious study. Kolej </w:t>
      </w:r>
      <w:proofErr w:type="spellStart"/>
      <w:r w:rsidRPr="008A6C23">
        <w:rPr>
          <w:rFonts w:ascii="Calibri" w:hAnsi="Calibri" w:cs="Calibri"/>
          <w:sz w:val="24"/>
          <w:szCs w:val="24"/>
        </w:rPr>
        <w:t>Universiti</w:t>
      </w:r>
      <w:proofErr w:type="spellEnd"/>
      <w:r w:rsidRPr="008A6C23">
        <w:rPr>
          <w:rFonts w:ascii="Calibri" w:hAnsi="Calibri" w:cs="Calibri"/>
          <w:sz w:val="24"/>
          <w:szCs w:val="24"/>
        </w:rPr>
        <w:t xml:space="preserve"> Islam Perlis (KUIPs) is one of the IPTs in Malaysia that focuses on Arabic language proficiency. This is proven when there are Arab lecturers at KUIPs who teach and communicate using Arabic. Besides, there are also non-Arab foreign lecturers and students who communicate in Arabic. Because of this, it is impossible for non-native Arabic speakers to avoid speaking Arabic when learning and dealing with each other.</w:t>
      </w:r>
    </w:p>
    <w:p w14:paraId="6BC7FCE1" w14:textId="77777777" w:rsidR="008A6C23" w:rsidRPr="008A6C23" w:rsidRDefault="008A6C23" w:rsidP="008A6C23">
      <w:pPr>
        <w:spacing w:after="0" w:line="240" w:lineRule="auto"/>
        <w:ind w:firstLine="720"/>
        <w:jc w:val="both"/>
        <w:rPr>
          <w:rFonts w:ascii="Calibri" w:hAnsi="Calibri" w:cs="Calibri"/>
          <w:sz w:val="24"/>
          <w:szCs w:val="24"/>
        </w:rPr>
      </w:pPr>
      <w:r w:rsidRPr="008A6C23">
        <w:rPr>
          <w:rFonts w:ascii="Calibri" w:hAnsi="Calibri" w:cs="Calibri"/>
          <w:sz w:val="24"/>
          <w:szCs w:val="24"/>
        </w:rPr>
        <w:t>Even through good communication, students can understand learning accurately and interact with Arab</w:t>
      </w:r>
      <w:proofErr w:type="spellStart"/>
      <w:r w:rsidRPr="008A6C23">
        <w:rPr>
          <w:rFonts w:ascii="Calibri" w:hAnsi="Calibri" w:cs="Calibri"/>
          <w:sz w:val="24"/>
          <w:szCs w:val="24"/>
          <w:lang w:val="en-US"/>
        </w:rPr>
        <w:t>ic</w:t>
      </w:r>
      <w:proofErr w:type="spellEnd"/>
      <w:r w:rsidRPr="008A6C23">
        <w:rPr>
          <w:rFonts w:ascii="Calibri" w:hAnsi="Calibri" w:cs="Calibri"/>
          <w:sz w:val="24"/>
          <w:szCs w:val="24"/>
        </w:rPr>
        <w:t xml:space="preserve"> </w:t>
      </w:r>
      <w:r w:rsidRPr="008A6C23">
        <w:rPr>
          <w:rFonts w:ascii="Calibri" w:hAnsi="Calibri" w:cs="Calibri"/>
          <w:sz w:val="24"/>
          <w:szCs w:val="24"/>
          <w:lang w:val="en-US"/>
        </w:rPr>
        <w:t>lecturer</w:t>
      </w:r>
      <w:r w:rsidRPr="008A6C23">
        <w:rPr>
          <w:rFonts w:ascii="Calibri" w:hAnsi="Calibri" w:cs="Calibri"/>
          <w:sz w:val="24"/>
          <w:szCs w:val="24"/>
        </w:rPr>
        <w:t xml:space="preserve">s in the classroom. Lubna Abd Rahman and Wan Azura Wan </w:t>
      </w:r>
      <w:r w:rsidRPr="008A6C23">
        <w:rPr>
          <w:rFonts w:ascii="Calibri" w:hAnsi="Calibri" w:cs="Calibri"/>
          <w:sz w:val="24"/>
          <w:szCs w:val="24"/>
        </w:rPr>
        <w:lastRenderedPageBreak/>
        <w:t>Ahmad (2006) stated that communication skills need to be emphasized in language learning so that students can express their thoughts and observations of something using the correct language. When a student has Arabic speaking skills, he</w:t>
      </w:r>
      <w:r w:rsidRPr="008A6C23">
        <w:rPr>
          <w:rFonts w:ascii="Calibri" w:hAnsi="Calibri" w:cs="Calibri"/>
          <w:sz w:val="24"/>
          <w:szCs w:val="24"/>
          <w:lang w:val="en-US"/>
        </w:rPr>
        <w:t>/she</w:t>
      </w:r>
      <w:r w:rsidRPr="008A6C23">
        <w:rPr>
          <w:rFonts w:ascii="Calibri" w:hAnsi="Calibri" w:cs="Calibri"/>
          <w:sz w:val="24"/>
          <w:szCs w:val="24"/>
        </w:rPr>
        <w:t xml:space="preserve"> is able to communicate with people around him</w:t>
      </w:r>
      <w:r w:rsidRPr="008A6C23">
        <w:rPr>
          <w:rFonts w:ascii="Calibri" w:hAnsi="Calibri" w:cs="Calibri"/>
          <w:sz w:val="24"/>
          <w:szCs w:val="24"/>
          <w:lang w:val="en-US"/>
        </w:rPr>
        <w:t>/her</w:t>
      </w:r>
      <w:r w:rsidRPr="008A6C23">
        <w:rPr>
          <w:rFonts w:ascii="Calibri" w:hAnsi="Calibri" w:cs="Calibri"/>
          <w:sz w:val="24"/>
          <w:szCs w:val="24"/>
        </w:rPr>
        <w:t xml:space="preserve"> who can speak Arabic and </w:t>
      </w:r>
      <w:r w:rsidRPr="008A6C23">
        <w:rPr>
          <w:rFonts w:ascii="Calibri" w:hAnsi="Calibri" w:cs="Calibri"/>
          <w:sz w:val="24"/>
          <w:szCs w:val="24"/>
          <w:lang w:val="en-US"/>
        </w:rPr>
        <w:t xml:space="preserve">the </w:t>
      </w:r>
      <w:r w:rsidRPr="008A6C23">
        <w:rPr>
          <w:rFonts w:ascii="Calibri" w:hAnsi="Calibri" w:cs="Calibri"/>
          <w:sz w:val="24"/>
          <w:szCs w:val="24"/>
        </w:rPr>
        <w:t>Arab</w:t>
      </w:r>
      <w:r w:rsidRPr="008A6C23">
        <w:rPr>
          <w:rFonts w:ascii="Calibri" w:hAnsi="Calibri" w:cs="Calibri"/>
          <w:sz w:val="24"/>
          <w:szCs w:val="24"/>
          <w:lang w:val="en-US"/>
        </w:rPr>
        <w:t>s</w:t>
      </w:r>
      <w:r w:rsidRPr="008A6C23">
        <w:rPr>
          <w:rFonts w:ascii="Calibri" w:hAnsi="Calibri" w:cs="Calibri"/>
          <w:sz w:val="24"/>
          <w:szCs w:val="24"/>
        </w:rPr>
        <w:t xml:space="preserve"> </w:t>
      </w:r>
      <w:r w:rsidRPr="008A6C23">
        <w:rPr>
          <w:rFonts w:ascii="Calibri" w:hAnsi="Calibri" w:cs="Calibri"/>
          <w:sz w:val="24"/>
          <w:szCs w:val="24"/>
          <w:lang w:val="en-US"/>
        </w:rPr>
        <w:t>themselves</w:t>
      </w:r>
      <w:r w:rsidRPr="008A6C23">
        <w:rPr>
          <w:rFonts w:ascii="Calibri" w:hAnsi="Calibri" w:cs="Calibri"/>
          <w:sz w:val="24"/>
          <w:szCs w:val="24"/>
        </w:rPr>
        <w:t>. (</w:t>
      </w:r>
      <w:proofErr w:type="spellStart"/>
      <w:r w:rsidRPr="008A6C23">
        <w:rPr>
          <w:rFonts w:ascii="Calibri" w:hAnsi="Calibri" w:cs="Calibri"/>
          <w:sz w:val="24"/>
          <w:szCs w:val="24"/>
        </w:rPr>
        <w:t>Masyitoh</w:t>
      </w:r>
      <w:proofErr w:type="spellEnd"/>
      <w:r w:rsidRPr="008A6C23">
        <w:rPr>
          <w:rFonts w:ascii="Calibri" w:hAnsi="Calibri" w:cs="Calibri"/>
          <w:sz w:val="24"/>
          <w:szCs w:val="24"/>
        </w:rPr>
        <w:t xml:space="preserve"> Yaacob &amp; Kaseh Abu Bakar, 2018).</w:t>
      </w:r>
    </w:p>
    <w:p w14:paraId="723D2D16" w14:textId="77777777" w:rsidR="008A6C23" w:rsidRPr="008A6C23" w:rsidRDefault="008A6C23" w:rsidP="008A6C23">
      <w:pPr>
        <w:spacing w:after="0" w:line="240" w:lineRule="auto"/>
        <w:ind w:firstLine="720"/>
        <w:jc w:val="both"/>
        <w:rPr>
          <w:rFonts w:ascii="Calibri" w:hAnsi="Calibri" w:cs="Calibri"/>
          <w:sz w:val="24"/>
          <w:szCs w:val="24"/>
        </w:rPr>
      </w:pPr>
      <w:r w:rsidRPr="008A6C23">
        <w:rPr>
          <w:rFonts w:ascii="Calibri" w:hAnsi="Calibri" w:cs="Calibri"/>
          <w:sz w:val="24"/>
          <w:szCs w:val="24"/>
        </w:rPr>
        <w:t xml:space="preserve">As for the use of Arabic as a medium of communication among students majoring in religion, it is not a foreign matter. This is because most of the resources and learning materials for this major are in Arabic. In fact, Nadwah Daud and </w:t>
      </w:r>
      <w:proofErr w:type="spellStart"/>
      <w:r w:rsidRPr="008A6C23">
        <w:rPr>
          <w:rFonts w:ascii="Calibri" w:hAnsi="Calibri" w:cs="Calibri"/>
          <w:sz w:val="24"/>
          <w:szCs w:val="24"/>
        </w:rPr>
        <w:t>Nadhilah</w:t>
      </w:r>
      <w:proofErr w:type="spellEnd"/>
      <w:r w:rsidRPr="008A6C23">
        <w:rPr>
          <w:rFonts w:ascii="Calibri" w:hAnsi="Calibri" w:cs="Calibri"/>
          <w:sz w:val="24"/>
          <w:szCs w:val="24"/>
        </w:rPr>
        <w:t xml:space="preserve"> Abdul Pisal (2014) also stated that, for students of religious streams, the norm is that they already have a solid foundation in this language. This basic knowledge gives them an advantage in terms of a broader vocabulary compared to non-religious </w:t>
      </w:r>
      <w:r w:rsidRPr="008A6C23">
        <w:rPr>
          <w:rFonts w:ascii="Calibri" w:hAnsi="Calibri" w:cs="Calibri"/>
          <w:sz w:val="24"/>
          <w:szCs w:val="24"/>
          <w:lang w:val="en-US"/>
        </w:rPr>
        <w:t xml:space="preserve">streams </w:t>
      </w:r>
      <w:r w:rsidRPr="008A6C23">
        <w:rPr>
          <w:rFonts w:ascii="Calibri" w:hAnsi="Calibri" w:cs="Calibri"/>
          <w:sz w:val="24"/>
          <w:szCs w:val="24"/>
        </w:rPr>
        <w:t xml:space="preserve">students. This advantage can help them </w:t>
      </w:r>
      <w:r w:rsidRPr="008A6C23">
        <w:rPr>
          <w:rFonts w:ascii="Calibri" w:hAnsi="Calibri" w:cs="Calibri"/>
          <w:sz w:val="24"/>
          <w:szCs w:val="24"/>
          <w:lang w:val="en-US"/>
        </w:rPr>
        <w:t xml:space="preserve">to </w:t>
      </w:r>
      <w:r w:rsidRPr="008A6C23">
        <w:rPr>
          <w:rFonts w:ascii="Calibri" w:hAnsi="Calibri" w:cs="Calibri"/>
          <w:sz w:val="24"/>
          <w:szCs w:val="24"/>
        </w:rPr>
        <w:t>communicate using Arabic easily in everyday conversations.</w:t>
      </w:r>
    </w:p>
    <w:p w14:paraId="17A9ADFE" w14:textId="77777777" w:rsidR="008A6C23" w:rsidRPr="008A6C23" w:rsidRDefault="008A6C23" w:rsidP="008A6C23">
      <w:pPr>
        <w:spacing w:after="0" w:line="240" w:lineRule="auto"/>
        <w:jc w:val="both"/>
        <w:rPr>
          <w:rFonts w:ascii="Calibri" w:eastAsia="Times New Roman" w:hAnsi="Calibri" w:cs="Calibri"/>
          <w:b/>
          <w:bCs/>
          <w:color w:val="FF0000"/>
          <w:sz w:val="24"/>
          <w:szCs w:val="24"/>
        </w:rPr>
      </w:pPr>
    </w:p>
    <w:p w14:paraId="47086943" w14:textId="1B188B6E" w:rsidR="008A6C23" w:rsidRPr="008A6C23" w:rsidRDefault="008A6C23" w:rsidP="008A6C23">
      <w:pPr>
        <w:spacing w:after="0" w:line="240" w:lineRule="auto"/>
        <w:jc w:val="both"/>
        <w:rPr>
          <w:rFonts w:ascii="Calibri" w:eastAsia="Times New Roman" w:hAnsi="Calibri" w:cs="Calibri"/>
          <w:b/>
          <w:bCs/>
          <w:color w:val="FF0000"/>
          <w:sz w:val="24"/>
          <w:szCs w:val="24"/>
        </w:rPr>
      </w:pPr>
      <w:r w:rsidRPr="008A6C23">
        <w:rPr>
          <w:rFonts w:ascii="Calibri" w:eastAsia="Times New Roman" w:hAnsi="Calibri" w:cs="Calibri"/>
          <w:b/>
          <w:bCs/>
          <w:color w:val="000000" w:themeColor="text1"/>
          <w:sz w:val="24"/>
          <w:szCs w:val="24"/>
        </w:rPr>
        <w:t xml:space="preserve">Attitude in </w:t>
      </w:r>
      <w:proofErr w:type="spellStart"/>
      <w:r w:rsidRPr="008A6C23">
        <w:rPr>
          <w:rFonts w:ascii="Calibri" w:eastAsia="Times New Roman" w:hAnsi="Calibri" w:cs="Calibri"/>
          <w:b/>
          <w:bCs/>
          <w:color w:val="000000" w:themeColor="text1"/>
          <w:sz w:val="24"/>
          <w:szCs w:val="24"/>
        </w:rPr>
        <w:t>Communicati</w:t>
      </w:r>
      <w:proofErr w:type="spellEnd"/>
      <w:r w:rsidRPr="008A6C23">
        <w:rPr>
          <w:rFonts w:ascii="Calibri" w:eastAsia="Times New Roman" w:hAnsi="Calibri" w:cs="Calibri"/>
          <w:b/>
          <w:bCs/>
          <w:color w:val="000000" w:themeColor="text1"/>
          <w:sz w:val="24"/>
          <w:szCs w:val="24"/>
          <w:lang w:val="en-US"/>
        </w:rPr>
        <w:t>on</w:t>
      </w:r>
    </w:p>
    <w:p w14:paraId="28BAFD1E" w14:textId="7AAEE81F" w:rsidR="008A6C23" w:rsidRPr="008A6C23" w:rsidRDefault="008A6C23" w:rsidP="008A6C23">
      <w:pPr>
        <w:spacing w:after="0" w:line="240" w:lineRule="auto"/>
        <w:jc w:val="both"/>
        <w:rPr>
          <w:rFonts w:ascii="Calibri" w:eastAsia="Times New Roman" w:hAnsi="Calibri" w:cs="Calibri"/>
          <w:color w:val="000000" w:themeColor="text1"/>
          <w:sz w:val="24"/>
          <w:szCs w:val="24"/>
        </w:rPr>
      </w:pPr>
      <w:r w:rsidRPr="008A6C23">
        <w:rPr>
          <w:rFonts w:ascii="Calibri" w:eastAsia="Times New Roman" w:hAnsi="Calibri" w:cs="Calibri"/>
          <w:color w:val="000000" w:themeColor="text1"/>
          <w:sz w:val="24"/>
          <w:szCs w:val="24"/>
        </w:rPr>
        <w:t xml:space="preserve">Attitude is a condition that causes the desire to change an act or </w:t>
      </w:r>
      <w:proofErr w:type="spellStart"/>
      <w:proofErr w:type="gramStart"/>
      <w:r w:rsidRPr="008A6C23">
        <w:rPr>
          <w:rFonts w:ascii="Calibri" w:eastAsia="Times New Roman" w:hAnsi="Calibri" w:cs="Calibri"/>
          <w:color w:val="000000" w:themeColor="text1"/>
          <w:sz w:val="24"/>
          <w:szCs w:val="24"/>
        </w:rPr>
        <w:t>behavior</w:t>
      </w:r>
      <w:proofErr w:type="spellEnd"/>
      <w:r w:rsidRPr="008A6C23">
        <w:rPr>
          <w:rFonts w:ascii="Calibri" w:eastAsia="Times New Roman" w:hAnsi="Calibri" w:cs="Calibri"/>
          <w:color w:val="000000" w:themeColor="text1"/>
          <w:sz w:val="24"/>
          <w:szCs w:val="24"/>
        </w:rPr>
        <w:t>(</w:t>
      </w:r>
      <w:proofErr w:type="gramEnd"/>
      <w:r w:rsidRPr="008A6C23">
        <w:rPr>
          <w:rFonts w:ascii="Calibri" w:eastAsia="Times New Roman" w:hAnsi="Calibri" w:cs="Calibri"/>
          <w:color w:val="000000" w:themeColor="text1"/>
          <w:sz w:val="24"/>
          <w:szCs w:val="24"/>
        </w:rPr>
        <w:t xml:space="preserve">Nurul Najwa &amp; Noor </w:t>
      </w:r>
      <w:proofErr w:type="spellStart"/>
      <w:r w:rsidRPr="008A6C23">
        <w:rPr>
          <w:rFonts w:ascii="Calibri" w:eastAsia="Times New Roman" w:hAnsi="Calibri" w:cs="Calibri"/>
          <w:color w:val="000000" w:themeColor="text1"/>
          <w:sz w:val="24"/>
          <w:szCs w:val="24"/>
        </w:rPr>
        <w:t>Raudhiah</w:t>
      </w:r>
      <w:proofErr w:type="spellEnd"/>
      <w:r w:rsidRPr="008A6C23">
        <w:rPr>
          <w:rFonts w:ascii="Calibri" w:eastAsia="Times New Roman" w:hAnsi="Calibri" w:cs="Calibri"/>
          <w:color w:val="000000" w:themeColor="text1"/>
          <w:sz w:val="24"/>
          <w:szCs w:val="24"/>
        </w:rPr>
        <w:t xml:space="preserve"> Abu Bakar, 2017). Attitude plays an important role in achieving success in something or attempting to achieve something desired (Azizi </w:t>
      </w:r>
      <w:proofErr w:type="spellStart"/>
      <w:r w:rsidRPr="008A6C23">
        <w:rPr>
          <w:rFonts w:ascii="Calibri" w:eastAsia="Times New Roman" w:hAnsi="Calibri" w:cs="Calibri"/>
          <w:color w:val="000000" w:themeColor="text1"/>
          <w:sz w:val="24"/>
          <w:szCs w:val="24"/>
        </w:rPr>
        <w:t>Hj</w:t>
      </w:r>
      <w:proofErr w:type="spellEnd"/>
      <w:r w:rsidRPr="008A6C23">
        <w:rPr>
          <w:rFonts w:ascii="Calibri" w:eastAsia="Times New Roman" w:hAnsi="Calibri" w:cs="Calibri"/>
          <w:color w:val="000000" w:themeColor="text1"/>
          <w:sz w:val="24"/>
          <w:szCs w:val="24"/>
        </w:rPr>
        <w:t xml:space="preserve">. Yahaya et. al, 2007). Therefore, attitude is an important factor in language learning. This is because attitude is a </w:t>
      </w:r>
      <w:proofErr w:type="spellStart"/>
      <w:r w:rsidRPr="008A6C23">
        <w:rPr>
          <w:rFonts w:ascii="Calibri" w:eastAsia="Times New Roman" w:hAnsi="Calibri" w:cs="Calibri"/>
          <w:color w:val="000000" w:themeColor="text1"/>
          <w:sz w:val="24"/>
          <w:szCs w:val="24"/>
        </w:rPr>
        <w:t>behavior</w:t>
      </w:r>
      <w:proofErr w:type="spellEnd"/>
      <w:r w:rsidRPr="008A6C23">
        <w:rPr>
          <w:rFonts w:ascii="Calibri" w:eastAsia="Times New Roman" w:hAnsi="Calibri" w:cs="Calibri"/>
          <w:color w:val="000000" w:themeColor="text1"/>
          <w:sz w:val="24"/>
          <w:szCs w:val="24"/>
        </w:rPr>
        <w:t>, action, or view of something. It can affect the improvement or decrease of student achievement in learning (Nur Afifah Fadzil et. al, 2022). This suggests that attitudes are closely related to a person's achievements in his or her learning. </w:t>
      </w:r>
    </w:p>
    <w:p w14:paraId="288D3035" w14:textId="77777777" w:rsidR="008A6C23" w:rsidRPr="008A6C23" w:rsidRDefault="008A6C23" w:rsidP="008A6C23">
      <w:pPr>
        <w:spacing w:after="0" w:line="240" w:lineRule="auto"/>
        <w:ind w:firstLine="720"/>
        <w:jc w:val="both"/>
        <w:rPr>
          <w:rFonts w:ascii="Calibri" w:hAnsi="Calibri" w:cs="Calibri"/>
          <w:sz w:val="24"/>
          <w:szCs w:val="24"/>
        </w:rPr>
      </w:pPr>
      <w:r w:rsidRPr="008A6C23">
        <w:rPr>
          <w:rFonts w:ascii="Calibri" w:hAnsi="Calibri" w:cs="Calibri"/>
          <w:sz w:val="24"/>
          <w:szCs w:val="24"/>
        </w:rPr>
        <w:t>Attitude in learning refers more to the individual's tendency to receive and interpret information (</w:t>
      </w:r>
      <w:proofErr w:type="spellStart"/>
      <w:r w:rsidRPr="008A6C23">
        <w:rPr>
          <w:rFonts w:ascii="Calibri" w:hAnsi="Calibri" w:cs="Calibri"/>
          <w:sz w:val="24"/>
          <w:szCs w:val="24"/>
        </w:rPr>
        <w:t>Rohaila</w:t>
      </w:r>
      <w:proofErr w:type="spellEnd"/>
      <w:r w:rsidRPr="008A6C23">
        <w:rPr>
          <w:rFonts w:ascii="Calibri" w:hAnsi="Calibri" w:cs="Calibri"/>
          <w:sz w:val="24"/>
          <w:szCs w:val="24"/>
        </w:rPr>
        <w:t xml:space="preserve"> Yusof et. al, 2005). In fact, attitudes towards language learning have been identified as influencing the process of language communication. The ability to communicate in a second or foreign language is a skill that must be mastered in the teaching and learning of a language (Siti Salwa Mohd Noor et. al, 2021). In the context of learning Arabic, self-esteem expectations determine the choice of students to learn Arabic and the extent to which they attempt to master the language. Students with low levels of self-esteem expectations will quickly despair when faced with failure or pressure in the learning session. (Ghazali Yusri et. al, 2011).</w:t>
      </w:r>
    </w:p>
    <w:p w14:paraId="4B7F1F98" w14:textId="77777777" w:rsidR="008A6C23" w:rsidRPr="008A6C23" w:rsidRDefault="008A6C23" w:rsidP="008A6C23">
      <w:pPr>
        <w:spacing w:after="0" w:line="240" w:lineRule="auto"/>
        <w:ind w:firstLine="720"/>
        <w:jc w:val="both"/>
        <w:rPr>
          <w:rFonts w:ascii="Calibri" w:hAnsi="Calibri" w:cs="Calibri"/>
          <w:sz w:val="24"/>
          <w:szCs w:val="24"/>
        </w:rPr>
      </w:pPr>
      <w:r w:rsidRPr="008A6C23">
        <w:rPr>
          <w:rFonts w:ascii="Calibri" w:hAnsi="Calibri" w:cs="Calibri"/>
          <w:sz w:val="24"/>
          <w:szCs w:val="24"/>
        </w:rPr>
        <w:t xml:space="preserve">The involvement of students using Arabic in the classroom provides space and opportunity for students to practice foreign languages more confidently in order to master the target language (Harun Baharudin &amp; </w:t>
      </w:r>
      <w:proofErr w:type="spellStart"/>
      <w:r w:rsidRPr="008A6C23">
        <w:rPr>
          <w:rFonts w:ascii="Calibri" w:hAnsi="Calibri" w:cs="Calibri"/>
          <w:sz w:val="24"/>
          <w:szCs w:val="24"/>
        </w:rPr>
        <w:t>Zunita</w:t>
      </w:r>
      <w:proofErr w:type="spellEnd"/>
      <w:r w:rsidRPr="008A6C23">
        <w:rPr>
          <w:rFonts w:ascii="Calibri" w:hAnsi="Calibri" w:cs="Calibri"/>
          <w:sz w:val="24"/>
          <w:szCs w:val="24"/>
        </w:rPr>
        <w:t xml:space="preserve"> Mohamad </w:t>
      </w:r>
      <w:proofErr w:type="spellStart"/>
      <w:r w:rsidRPr="008A6C23">
        <w:rPr>
          <w:rFonts w:ascii="Calibri" w:hAnsi="Calibri" w:cs="Calibri"/>
          <w:sz w:val="24"/>
          <w:szCs w:val="24"/>
        </w:rPr>
        <w:t>Maskor</w:t>
      </w:r>
      <w:proofErr w:type="spellEnd"/>
      <w:r w:rsidRPr="008A6C23">
        <w:rPr>
          <w:rFonts w:ascii="Calibri" w:hAnsi="Calibri" w:cs="Calibri"/>
          <w:sz w:val="24"/>
          <w:szCs w:val="24"/>
        </w:rPr>
        <w:t xml:space="preserve">, 2020). According to Hassan Basri and Muhammad Azhar </w:t>
      </w:r>
      <w:proofErr w:type="spellStart"/>
      <w:r w:rsidRPr="008A6C23">
        <w:rPr>
          <w:rFonts w:ascii="Calibri" w:hAnsi="Calibri" w:cs="Calibri"/>
          <w:sz w:val="24"/>
          <w:szCs w:val="24"/>
        </w:rPr>
        <w:t>Zailaini</w:t>
      </w:r>
      <w:proofErr w:type="spellEnd"/>
      <w:r w:rsidRPr="008A6C23">
        <w:rPr>
          <w:rFonts w:ascii="Calibri" w:hAnsi="Calibri" w:cs="Calibri"/>
          <w:sz w:val="24"/>
          <w:szCs w:val="24"/>
        </w:rPr>
        <w:t xml:space="preserve"> (2004), the Ministry of Education has listed the objectives of learning Arabic communication at the secondary school level, i.e. to communicate fluently and to be able to express opinions and arguments in specific situations. Therefore, students who studied Arabic communication before entering KUIPs are already exposed to communicating in Arabic. Ghazali Yusri, Nik Mohd Rohimi &amp; </w:t>
      </w:r>
      <w:proofErr w:type="spellStart"/>
      <w:r w:rsidRPr="008A6C23">
        <w:rPr>
          <w:rFonts w:ascii="Calibri" w:hAnsi="Calibri" w:cs="Calibri"/>
          <w:sz w:val="24"/>
          <w:szCs w:val="24"/>
        </w:rPr>
        <w:t>Parilah</w:t>
      </w:r>
      <w:proofErr w:type="spellEnd"/>
      <w:r w:rsidRPr="008A6C23">
        <w:rPr>
          <w:rFonts w:ascii="Calibri" w:hAnsi="Calibri" w:cs="Calibri"/>
          <w:sz w:val="24"/>
          <w:szCs w:val="24"/>
        </w:rPr>
        <w:t xml:space="preserve"> M. Shah (2010) found in their study that students who already have a basic knowledge of Arabic have advantages and consider it easy, while students who do not have a basic knowledge of Arabic consider it difficult. It suggests that the basic knowledge of Arabic that students possess can enhance their self-confidence, even a high level of </w:t>
      </w:r>
      <w:proofErr w:type="spellStart"/>
      <w:r w:rsidRPr="008A6C23">
        <w:rPr>
          <w:rFonts w:ascii="Calibri" w:hAnsi="Calibri" w:cs="Calibri"/>
          <w:sz w:val="24"/>
          <w:szCs w:val="24"/>
        </w:rPr>
        <w:t>self confidence</w:t>
      </w:r>
      <w:proofErr w:type="spellEnd"/>
      <w:r w:rsidRPr="008A6C23">
        <w:rPr>
          <w:rFonts w:ascii="Calibri" w:hAnsi="Calibri" w:cs="Calibri"/>
          <w:sz w:val="24"/>
          <w:szCs w:val="24"/>
        </w:rPr>
        <w:t xml:space="preserve"> can have a positive impact on their ability to communicate Arabic well.</w:t>
      </w:r>
    </w:p>
    <w:p w14:paraId="66EBE8DA" w14:textId="77777777" w:rsidR="008A6C23" w:rsidRPr="008A6C23" w:rsidRDefault="008A6C23" w:rsidP="008A6C23">
      <w:pPr>
        <w:spacing w:after="0" w:line="240" w:lineRule="auto"/>
        <w:ind w:firstLine="720"/>
        <w:jc w:val="both"/>
        <w:rPr>
          <w:rFonts w:ascii="Calibri" w:hAnsi="Calibri" w:cs="Calibri"/>
          <w:sz w:val="24"/>
          <w:szCs w:val="24"/>
        </w:rPr>
      </w:pPr>
      <w:r w:rsidRPr="008A6C23">
        <w:rPr>
          <w:rFonts w:ascii="Calibri" w:hAnsi="Calibri" w:cs="Calibri"/>
          <w:sz w:val="24"/>
          <w:szCs w:val="24"/>
        </w:rPr>
        <w:t xml:space="preserve">However, Fatin Hamimah et.al (2022) found that students practiced the use of Arabic less, outside of the teaching and learning time compared to the Arabic language learning in the classroom. This is because, students assume that mastery of a foreign language is very difficult, especially when communicating in Arabic. The personal factor is the most influential </w:t>
      </w:r>
      <w:r w:rsidRPr="008A6C23">
        <w:rPr>
          <w:rFonts w:ascii="Calibri" w:hAnsi="Calibri" w:cs="Calibri"/>
          <w:sz w:val="24"/>
          <w:szCs w:val="24"/>
        </w:rPr>
        <w:lastRenderedPageBreak/>
        <w:t>factor in learning a language. If the student has a positive attitude, such as awareness of the importance of the language, then he will try to master it in various ways</w:t>
      </w:r>
      <w:r w:rsidRPr="008A6C23">
        <w:rPr>
          <w:rFonts w:ascii="Calibri" w:hAnsi="Calibri" w:cs="Calibri"/>
          <w:sz w:val="24"/>
          <w:szCs w:val="24"/>
          <w:lang w:val="en-US"/>
        </w:rPr>
        <w:t xml:space="preserve"> </w:t>
      </w:r>
      <w:r w:rsidRPr="008A6C23">
        <w:rPr>
          <w:rFonts w:ascii="Calibri" w:hAnsi="Calibri" w:cs="Calibri"/>
          <w:sz w:val="24"/>
          <w:szCs w:val="24"/>
        </w:rPr>
        <w:t>(</w:t>
      </w:r>
      <w:proofErr w:type="spellStart"/>
      <w:r w:rsidRPr="008A6C23">
        <w:rPr>
          <w:rFonts w:ascii="Calibri" w:hAnsi="Calibri" w:cs="Calibri"/>
          <w:sz w:val="24"/>
          <w:szCs w:val="24"/>
        </w:rPr>
        <w:t>Zaliza</w:t>
      </w:r>
      <w:proofErr w:type="spellEnd"/>
      <w:r w:rsidRPr="008A6C23">
        <w:rPr>
          <w:rFonts w:ascii="Calibri" w:hAnsi="Calibri" w:cs="Calibri"/>
          <w:sz w:val="24"/>
          <w:szCs w:val="24"/>
        </w:rPr>
        <w:t xml:space="preserve"> Mohamad Nasir &amp; </w:t>
      </w:r>
      <w:proofErr w:type="spellStart"/>
      <w:r w:rsidRPr="008A6C23">
        <w:rPr>
          <w:rFonts w:ascii="Calibri" w:hAnsi="Calibri" w:cs="Calibri"/>
          <w:sz w:val="24"/>
          <w:szCs w:val="24"/>
        </w:rPr>
        <w:t>Zaitul</w:t>
      </w:r>
      <w:proofErr w:type="spellEnd"/>
      <w:r w:rsidRPr="008A6C23">
        <w:rPr>
          <w:rFonts w:ascii="Calibri" w:hAnsi="Calibri" w:cs="Calibri"/>
          <w:sz w:val="24"/>
          <w:szCs w:val="24"/>
        </w:rPr>
        <w:t xml:space="preserve"> Azma Zainon Hamzah, 2014). Thus, this provides the student </w:t>
      </w:r>
      <w:r w:rsidRPr="008A6C23">
        <w:rPr>
          <w:rFonts w:ascii="Calibri" w:hAnsi="Calibri" w:cs="Calibri"/>
          <w:sz w:val="24"/>
          <w:szCs w:val="24"/>
          <w:lang w:val="en-US"/>
        </w:rPr>
        <w:t>as</w:t>
      </w:r>
      <w:r w:rsidRPr="008A6C23">
        <w:rPr>
          <w:rFonts w:ascii="Calibri" w:hAnsi="Calibri" w:cs="Calibri"/>
          <w:sz w:val="24"/>
          <w:szCs w:val="24"/>
        </w:rPr>
        <w:t xml:space="preserve"> someone who is willing to communicate in Arabic.</w:t>
      </w:r>
    </w:p>
    <w:p w14:paraId="0350DCD9" w14:textId="7FC361CB" w:rsidR="008A6C23" w:rsidRPr="008A6C23" w:rsidRDefault="008A6C23" w:rsidP="008A6C23">
      <w:pPr>
        <w:spacing w:after="0" w:line="240" w:lineRule="auto"/>
        <w:ind w:firstLine="720"/>
        <w:jc w:val="both"/>
        <w:rPr>
          <w:rFonts w:ascii="Calibri" w:hAnsi="Calibri" w:cs="Calibri"/>
          <w:sz w:val="24"/>
          <w:szCs w:val="24"/>
        </w:rPr>
      </w:pPr>
      <w:r w:rsidRPr="008A6C23">
        <w:rPr>
          <w:rFonts w:ascii="Calibri" w:hAnsi="Calibri" w:cs="Calibri"/>
          <w:sz w:val="24"/>
          <w:szCs w:val="24"/>
        </w:rPr>
        <w:t xml:space="preserve">The low level of Arabic use among students is also often associated with internal problems such as lack of self-confidence when students are afraid and embarrassed to make mistakes, low self-esteem, lack of enthusiasm, and fear of being laughed at by friends. Students will be less motivated, confident and embarrassed to communicate in a foreign language (Fatin Hamimah Rosli et. al, 2022). This problem leads to the weakness of students in communicating in Arabic (Mohd Salihin Hafizi et. al, 2020). This attitude has negative implications for students. The negative attitude of some students who are easily given up and embarrassed by their weaknesses will lead them to lose confidence and feel inferior to engage in teaching activities, especially those involving communication (Ghazali Yusri et. al, 2011). </w:t>
      </w:r>
    </w:p>
    <w:p w14:paraId="503528A7" w14:textId="058B9938" w:rsidR="008A6C23" w:rsidRPr="008A6C23" w:rsidRDefault="008A6C23" w:rsidP="008A6C23">
      <w:pPr>
        <w:spacing w:after="0" w:line="240" w:lineRule="auto"/>
        <w:ind w:firstLine="720"/>
        <w:jc w:val="both"/>
        <w:rPr>
          <w:rFonts w:ascii="Calibri" w:hAnsi="Calibri" w:cs="Calibri"/>
          <w:sz w:val="24"/>
          <w:szCs w:val="24"/>
        </w:rPr>
      </w:pPr>
      <w:r w:rsidRPr="008A6C23">
        <w:rPr>
          <w:rFonts w:ascii="Calibri" w:hAnsi="Calibri" w:cs="Calibri"/>
          <w:sz w:val="24"/>
          <w:szCs w:val="24"/>
        </w:rPr>
        <w:t>As a result of a lack of motivation, self-confidence, and shyness to communicate in a foreign language, students have less initiative to communicate and diversify appropriate communication strategies to deal with the problems encountered while communicating. Due to this, there are students who prefer to use their mother tongue instead of the second language, or they keep themselves silent (</w:t>
      </w:r>
      <w:proofErr w:type="spellStart"/>
      <w:r w:rsidRPr="008A6C23">
        <w:rPr>
          <w:rFonts w:ascii="Calibri" w:hAnsi="Calibri" w:cs="Calibri"/>
          <w:sz w:val="24"/>
          <w:szCs w:val="24"/>
        </w:rPr>
        <w:t>Alibakhshi</w:t>
      </w:r>
      <w:proofErr w:type="spellEnd"/>
      <w:r w:rsidRPr="008A6C23">
        <w:rPr>
          <w:rFonts w:ascii="Calibri" w:hAnsi="Calibri" w:cs="Calibri"/>
          <w:sz w:val="24"/>
          <w:szCs w:val="24"/>
        </w:rPr>
        <w:t xml:space="preserve"> &amp; Padiz, 2011). In addition, students' weaknesses in grammar may eventually cause them to avoid using Arabic as a language of communication (Ab. Halim Mohamad, 2009). Communication skills require high language skills (Anuar 2016). Therefore, students should believe in themselves and establish positive thoughts by believing in their own abilities in the process of mastering foreign language communication.</w:t>
      </w:r>
    </w:p>
    <w:p w14:paraId="226574E0" w14:textId="77777777" w:rsidR="008A6C23" w:rsidRPr="008A6C23" w:rsidRDefault="008A6C23" w:rsidP="008A6C23">
      <w:pPr>
        <w:spacing w:after="0" w:line="240" w:lineRule="auto"/>
        <w:jc w:val="both"/>
        <w:rPr>
          <w:rFonts w:ascii="Calibri" w:hAnsi="Calibri" w:cs="Calibri"/>
          <w:sz w:val="24"/>
          <w:szCs w:val="24"/>
        </w:rPr>
      </w:pPr>
    </w:p>
    <w:p w14:paraId="29417690" w14:textId="77777777" w:rsidR="008A6C23" w:rsidRPr="008A6C23" w:rsidRDefault="008A6C23" w:rsidP="008A6C23">
      <w:pPr>
        <w:spacing w:after="0" w:line="240" w:lineRule="auto"/>
        <w:jc w:val="both"/>
        <w:rPr>
          <w:rFonts w:ascii="Calibri" w:hAnsi="Calibri" w:cs="Calibri"/>
          <w:b/>
          <w:bCs/>
          <w:sz w:val="24"/>
          <w:szCs w:val="24"/>
          <w:lang w:val="en-US"/>
        </w:rPr>
      </w:pPr>
      <w:r w:rsidRPr="008A6C23">
        <w:rPr>
          <w:rFonts w:ascii="Calibri" w:hAnsi="Calibri" w:cs="Calibri"/>
          <w:b/>
          <w:bCs/>
          <w:sz w:val="24"/>
          <w:szCs w:val="24"/>
        </w:rPr>
        <w:t>Research Met</w:t>
      </w:r>
      <w:proofErr w:type="spellStart"/>
      <w:r w:rsidRPr="008A6C23">
        <w:rPr>
          <w:rFonts w:ascii="Calibri" w:hAnsi="Calibri" w:cs="Calibri"/>
          <w:b/>
          <w:bCs/>
          <w:sz w:val="24"/>
          <w:szCs w:val="24"/>
          <w:lang w:val="en-US"/>
        </w:rPr>
        <w:t>hodology</w:t>
      </w:r>
      <w:proofErr w:type="spellEnd"/>
    </w:p>
    <w:p w14:paraId="4F6E4D33" w14:textId="77777777" w:rsidR="008A6C23" w:rsidRPr="008A6C23" w:rsidRDefault="008A6C23" w:rsidP="008A6C23">
      <w:pPr>
        <w:spacing w:after="0" w:line="240" w:lineRule="auto"/>
        <w:jc w:val="both"/>
        <w:rPr>
          <w:rFonts w:ascii="Calibri" w:hAnsi="Calibri" w:cs="Calibri"/>
          <w:sz w:val="24"/>
          <w:szCs w:val="24"/>
        </w:rPr>
      </w:pPr>
      <w:r w:rsidRPr="008A6C23">
        <w:rPr>
          <w:rFonts w:ascii="Calibri" w:hAnsi="Calibri" w:cs="Calibri"/>
          <w:sz w:val="24"/>
          <w:szCs w:val="24"/>
        </w:rPr>
        <w:t xml:space="preserve">This study is a survey involving 150 students of Kolej </w:t>
      </w:r>
      <w:proofErr w:type="spellStart"/>
      <w:r w:rsidRPr="008A6C23">
        <w:rPr>
          <w:rFonts w:ascii="Calibri" w:hAnsi="Calibri" w:cs="Calibri"/>
          <w:sz w:val="24"/>
          <w:szCs w:val="24"/>
        </w:rPr>
        <w:t>Universiti</w:t>
      </w:r>
      <w:proofErr w:type="spellEnd"/>
      <w:r w:rsidRPr="008A6C23">
        <w:rPr>
          <w:rFonts w:ascii="Calibri" w:hAnsi="Calibri" w:cs="Calibri"/>
          <w:sz w:val="24"/>
          <w:szCs w:val="24"/>
        </w:rPr>
        <w:t xml:space="preserve"> Islam Perlis. Questionnaires were distributed to obtain data on the level of attitude and level of readiness to communicate in Arabic among students. Correlation analysis was used to determine the relationship between Arabic communication attitudes and readiness to communicate </w:t>
      </w:r>
      <w:r w:rsidRPr="008A6C23">
        <w:rPr>
          <w:rFonts w:ascii="Calibri" w:hAnsi="Calibri" w:cs="Calibri"/>
          <w:sz w:val="24"/>
          <w:szCs w:val="24"/>
          <w:lang w:val="en-US"/>
        </w:rPr>
        <w:t xml:space="preserve">in </w:t>
      </w:r>
      <w:r w:rsidRPr="008A6C23">
        <w:rPr>
          <w:rFonts w:ascii="Calibri" w:hAnsi="Calibri" w:cs="Calibri"/>
          <w:sz w:val="24"/>
          <w:szCs w:val="24"/>
        </w:rPr>
        <w:t xml:space="preserve">Arabic among students of Kolej </w:t>
      </w:r>
      <w:proofErr w:type="spellStart"/>
      <w:r w:rsidRPr="008A6C23">
        <w:rPr>
          <w:rFonts w:ascii="Calibri" w:hAnsi="Calibri" w:cs="Calibri"/>
          <w:sz w:val="24"/>
          <w:szCs w:val="24"/>
        </w:rPr>
        <w:t>Universiti</w:t>
      </w:r>
      <w:proofErr w:type="spellEnd"/>
      <w:r w:rsidRPr="008A6C23">
        <w:rPr>
          <w:rFonts w:ascii="Calibri" w:hAnsi="Calibri" w:cs="Calibri"/>
          <w:sz w:val="24"/>
          <w:szCs w:val="24"/>
        </w:rPr>
        <w:t xml:space="preserve"> Islam Perlis. </w:t>
      </w:r>
    </w:p>
    <w:p w14:paraId="55948407" w14:textId="77777777" w:rsidR="008A6C23" w:rsidRPr="008A6C23" w:rsidRDefault="008A6C23" w:rsidP="008A6C23">
      <w:pPr>
        <w:spacing w:after="0" w:line="240" w:lineRule="auto"/>
        <w:jc w:val="both"/>
        <w:rPr>
          <w:rFonts w:ascii="Calibri" w:hAnsi="Calibri" w:cs="Calibri"/>
          <w:b/>
          <w:bCs/>
          <w:sz w:val="24"/>
          <w:szCs w:val="24"/>
        </w:rPr>
      </w:pPr>
    </w:p>
    <w:p w14:paraId="3D99ECF7" w14:textId="77777777" w:rsidR="008A6C23" w:rsidRPr="008A6C23" w:rsidRDefault="008A6C23" w:rsidP="008A6C23">
      <w:pPr>
        <w:spacing w:after="0" w:line="240" w:lineRule="auto"/>
        <w:jc w:val="both"/>
        <w:rPr>
          <w:rFonts w:ascii="Calibri" w:hAnsi="Calibri" w:cs="Calibri"/>
          <w:b/>
          <w:bCs/>
          <w:sz w:val="24"/>
          <w:szCs w:val="24"/>
        </w:rPr>
      </w:pPr>
      <w:r w:rsidRPr="008A6C23">
        <w:rPr>
          <w:rFonts w:ascii="Calibri" w:hAnsi="Calibri" w:cs="Calibri"/>
          <w:b/>
          <w:bCs/>
          <w:sz w:val="24"/>
          <w:szCs w:val="24"/>
        </w:rPr>
        <w:t>Findings and Discussion</w:t>
      </w:r>
    </w:p>
    <w:p w14:paraId="55249333" w14:textId="77777777" w:rsidR="008A6C23" w:rsidRPr="008A6C23" w:rsidRDefault="008A6C23" w:rsidP="008A6C23">
      <w:pPr>
        <w:spacing w:after="0" w:line="240" w:lineRule="auto"/>
        <w:jc w:val="both"/>
        <w:rPr>
          <w:rFonts w:ascii="Calibri" w:eastAsia="Times New Roman" w:hAnsi="Calibri" w:cs="Calibri"/>
          <w:b/>
          <w:bCs/>
          <w:sz w:val="24"/>
          <w:szCs w:val="24"/>
        </w:rPr>
      </w:pPr>
      <w:r w:rsidRPr="008A6C23">
        <w:rPr>
          <w:rFonts w:ascii="Calibri" w:eastAsia="Times New Roman" w:hAnsi="Calibri" w:cs="Calibri"/>
          <w:b/>
          <w:bCs/>
          <w:sz w:val="24"/>
          <w:szCs w:val="24"/>
        </w:rPr>
        <w:t xml:space="preserve">Level of Readiness </w:t>
      </w:r>
      <w:proofErr w:type="gramStart"/>
      <w:r w:rsidRPr="008A6C23">
        <w:rPr>
          <w:rFonts w:ascii="Calibri" w:eastAsia="Times New Roman" w:hAnsi="Calibri" w:cs="Calibri"/>
          <w:b/>
          <w:bCs/>
          <w:sz w:val="24"/>
          <w:szCs w:val="24"/>
        </w:rPr>
        <w:t>To</w:t>
      </w:r>
      <w:proofErr w:type="gramEnd"/>
      <w:r w:rsidRPr="008A6C23">
        <w:rPr>
          <w:rFonts w:ascii="Calibri" w:eastAsia="Times New Roman" w:hAnsi="Calibri" w:cs="Calibri"/>
          <w:b/>
          <w:bCs/>
          <w:sz w:val="24"/>
          <w:szCs w:val="24"/>
        </w:rPr>
        <w:t xml:space="preserve"> Communicate In Arabic</w:t>
      </w:r>
    </w:p>
    <w:p w14:paraId="772FF2B3" w14:textId="77777777" w:rsidR="008A6C23" w:rsidRPr="008A6C23" w:rsidRDefault="008A6C23" w:rsidP="008A6C23">
      <w:pPr>
        <w:spacing w:after="0" w:line="240" w:lineRule="auto"/>
        <w:jc w:val="both"/>
        <w:rPr>
          <w:rFonts w:ascii="Calibri" w:eastAsia="Times New Roman" w:hAnsi="Calibri" w:cs="Calibri"/>
          <w:sz w:val="24"/>
          <w:szCs w:val="24"/>
        </w:rPr>
      </w:pPr>
      <w:r w:rsidRPr="008A6C23">
        <w:rPr>
          <w:rFonts w:ascii="Calibri" w:eastAsia="Times New Roman" w:hAnsi="Calibri" w:cs="Calibri"/>
          <w:sz w:val="24"/>
          <w:szCs w:val="24"/>
        </w:rPr>
        <w:t xml:space="preserve">The results of the study on the level of readiness to communicate in Arabic among the students of </w:t>
      </w:r>
      <w:r w:rsidRPr="008A6C23">
        <w:rPr>
          <w:rFonts w:ascii="Calibri" w:eastAsia="Times New Roman" w:hAnsi="Calibri" w:cs="Calibri"/>
          <w:sz w:val="24"/>
          <w:szCs w:val="24"/>
          <w:lang w:val="en-US"/>
        </w:rPr>
        <w:t xml:space="preserve">Kolej </w:t>
      </w:r>
      <w:proofErr w:type="spellStart"/>
      <w:r w:rsidRPr="008A6C23">
        <w:rPr>
          <w:rFonts w:ascii="Calibri" w:eastAsia="Times New Roman" w:hAnsi="Calibri" w:cs="Calibri"/>
          <w:sz w:val="24"/>
          <w:szCs w:val="24"/>
          <w:lang w:val="en-US"/>
        </w:rPr>
        <w:t>Universiti</w:t>
      </w:r>
      <w:proofErr w:type="spellEnd"/>
      <w:r w:rsidRPr="008A6C23">
        <w:rPr>
          <w:rFonts w:ascii="Calibri" w:eastAsia="Times New Roman" w:hAnsi="Calibri" w:cs="Calibri"/>
          <w:sz w:val="24"/>
          <w:szCs w:val="24"/>
          <w:lang w:val="en-US"/>
        </w:rPr>
        <w:t xml:space="preserve"> Islam Perlis</w:t>
      </w:r>
      <w:r w:rsidRPr="008A6C23">
        <w:rPr>
          <w:rFonts w:ascii="Calibri" w:eastAsia="Times New Roman" w:hAnsi="Calibri" w:cs="Calibri"/>
          <w:sz w:val="24"/>
          <w:szCs w:val="24"/>
        </w:rPr>
        <w:t xml:space="preserve"> are shown in Table 1. The results of the study show that 50.7% or 76 respondents feel a high level of readiness to communicate in Arabic. While a total of 57 respondents or 38.0% think their level of readiness to communicate in Arabic is moderate. While 17 respondents or 11.3% </w:t>
      </w:r>
      <w:proofErr w:type="spellStart"/>
      <w:r w:rsidRPr="008A6C23">
        <w:rPr>
          <w:rFonts w:ascii="Calibri" w:eastAsia="Times New Roman" w:hAnsi="Calibri" w:cs="Calibri"/>
          <w:sz w:val="24"/>
          <w:szCs w:val="24"/>
        </w:rPr>
        <w:t>fe</w:t>
      </w:r>
      <w:r w:rsidRPr="008A6C23">
        <w:rPr>
          <w:rFonts w:ascii="Calibri" w:eastAsia="Times New Roman" w:hAnsi="Calibri" w:cs="Calibri"/>
          <w:sz w:val="24"/>
          <w:szCs w:val="24"/>
          <w:lang w:val="en-US"/>
        </w:rPr>
        <w:t>el</w:t>
      </w:r>
      <w:proofErr w:type="spellEnd"/>
      <w:r w:rsidRPr="008A6C23">
        <w:rPr>
          <w:rFonts w:ascii="Calibri" w:eastAsia="Times New Roman" w:hAnsi="Calibri" w:cs="Calibri"/>
          <w:sz w:val="24"/>
          <w:szCs w:val="24"/>
        </w:rPr>
        <w:t xml:space="preserve"> that the level of readiness to communicate in Arabic </w:t>
      </w:r>
      <w:proofErr w:type="spellStart"/>
      <w:r w:rsidRPr="008A6C23">
        <w:rPr>
          <w:rFonts w:ascii="Calibri" w:eastAsia="Times New Roman" w:hAnsi="Calibri" w:cs="Calibri"/>
          <w:sz w:val="24"/>
          <w:szCs w:val="24"/>
          <w:lang w:val="en-US"/>
        </w:rPr>
        <w:t>i</w:t>
      </w:r>
      <w:r w:rsidRPr="008A6C23">
        <w:rPr>
          <w:rFonts w:ascii="Calibri" w:eastAsia="Times New Roman" w:hAnsi="Calibri" w:cs="Calibri"/>
          <w:sz w:val="24"/>
          <w:szCs w:val="24"/>
        </w:rPr>
        <w:t>s low</w:t>
      </w:r>
      <w:proofErr w:type="spellEnd"/>
      <w:r w:rsidRPr="008A6C23">
        <w:rPr>
          <w:rFonts w:ascii="Calibri" w:eastAsia="Times New Roman" w:hAnsi="Calibri" w:cs="Calibri"/>
          <w:sz w:val="24"/>
          <w:szCs w:val="24"/>
        </w:rPr>
        <w:t xml:space="preserve">. It is measured using a five-choice answer scale from "strongly disagree" to "strongly agree". The results of the study </w:t>
      </w:r>
      <w:r w:rsidRPr="008A6C23">
        <w:rPr>
          <w:rFonts w:ascii="Calibri" w:eastAsia="Times New Roman" w:hAnsi="Calibri" w:cs="Calibri"/>
          <w:sz w:val="24"/>
          <w:szCs w:val="24"/>
          <w:lang w:val="en-US"/>
        </w:rPr>
        <w:t>states</w:t>
      </w:r>
      <w:r w:rsidRPr="008A6C23">
        <w:rPr>
          <w:rFonts w:ascii="Calibri" w:eastAsia="Times New Roman" w:hAnsi="Calibri" w:cs="Calibri"/>
          <w:sz w:val="24"/>
          <w:szCs w:val="24"/>
        </w:rPr>
        <w:t xml:space="preserve"> that on average, the respondent's score for the level of readiness to communicate in Arabic </w:t>
      </w:r>
      <w:proofErr w:type="spellStart"/>
      <w:r w:rsidRPr="008A6C23">
        <w:rPr>
          <w:rFonts w:ascii="Calibri" w:eastAsia="Times New Roman" w:hAnsi="Calibri" w:cs="Calibri"/>
          <w:sz w:val="24"/>
          <w:szCs w:val="24"/>
          <w:lang w:val="en-US"/>
        </w:rPr>
        <w:t>i</w:t>
      </w:r>
      <w:proofErr w:type="spellEnd"/>
      <w:r w:rsidRPr="008A6C23">
        <w:rPr>
          <w:rFonts w:ascii="Calibri" w:eastAsia="Times New Roman" w:hAnsi="Calibri" w:cs="Calibri"/>
          <w:sz w:val="24"/>
          <w:szCs w:val="24"/>
        </w:rPr>
        <w:t>s at a moderate level (M = 3.5703, SD 0.8747).</w:t>
      </w:r>
    </w:p>
    <w:p w14:paraId="057EC1CE" w14:textId="77777777" w:rsidR="008A6C23" w:rsidRPr="008A6C23" w:rsidRDefault="008A6C23" w:rsidP="008A6C23">
      <w:pPr>
        <w:spacing w:after="0" w:line="240" w:lineRule="auto"/>
        <w:jc w:val="both"/>
        <w:rPr>
          <w:rFonts w:ascii="Calibri" w:eastAsia="Times New Roman" w:hAnsi="Calibri" w:cs="Calibri"/>
          <w:b/>
          <w:bCs/>
          <w:sz w:val="24"/>
          <w:szCs w:val="24"/>
        </w:rPr>
      </w:pPr>
    </w:p>
    <w:p w14:paraId="6ADDAA37" w14:textId="77777777" w:rsidR="008A6C23" w:rsidRPr="008A6C23" w:rsidRDefault="008A6C23" w:rsidP="008A6C23">
      <w:pPr>
        <w:spacing w:after="0" w:line="240" w:lineRule="auto"/>
        <w:jc w:val="both"/>
        <w:rPr>
          <w:rFonts w:ascii="Calibri" w:eastAsia="SimSun" w:hAnsi="Calibri" w:cs="Calibri"/>
          <w:iCs/>
          <w:sz w:val="24"/>
          <w:szCs w:val="24"/>
          <w:lang w:val="en-US" w:eastAsia="en-MY"/>
        </w:rPr>
      </w:pPr>
      <w:r w:rsidRPr="008A6C23">
        <w:rPr>
          <w:rFonts w:ascii="Calibri" w:eastAsia="Times New Roman" w:hAnsi="Calibri" w:cs="Calibri"/>
          <w:sz w:val="24"/>
          <w:szCs w:val="24"/>
        </w:rPr>
        <w:t>Table 1: Distribution of respondents according to the level of readiness to communicate in Arabic</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323"/>
        <w:gridCol w:w="1931"/>
        <w:gridCol w:w="1145"/>
        <w:gridCol w:w="1285"/>
      </w:tblGrid>
      <w:tr w:rsidR="008A6C23" w:rsidRPr="008A6C23" w14:paraId="14BAE04F" w14:textId="77777777" w:rsidTr="000B0233">
        <w:tc>
          <w:tcPr>
            <w:tcW w:w="2835" w:type="dxa"/>
            <w:tcBorders>
              <w:top w:val="single" w:sz="4" w:space="0" w:color="auto"/>
              <w:bottom w:val="single" w:sz="4" w:space="0" w:color="auto"/>
            </w:tcBorders>
          </w:tcPr>
          <w:p w14:paraId="54D7EA87" w14:textId="77777777" w:rsidR="008A6C23" w:rsidRPr="008A6C23" w:rsidRDefault="008A6C23" w:rsidP="008A6C23">
            <w:pPr>
              <w:rPr>
                <w:rFonts w:ascii="Calibri" w:hAnsi="Calibri" w:cs="Calibri"/>
                <w:sz w:val="24"/>
                <w:szCs w:val="24"/>
                <w:lang w:val="en-US"/>
              </w:rPr>
            </w:pPr>
            <w:r w:rsidRPr="008A6C23">
              <w:rPr>
                <w:rFonts w:ascii="Calibri" w:hAnsi="Calibri" w:cs="Calibri"/>
                <w:sz w:val="24"/>
                <w:szCs w:val="24"/>
                <w:lang w:val="en-US"/>
              </w:rPr>
              <w:t>Level of Readiness</w:t>
            </w:r>
          </w:p>
        </w:tc>
        <w:tc>
          <w:tcPr>
            <w:tcW w:w="1323" w:type="dxa"/>
            <w:tcBorders>
              <w:top w:val="single" w:sz="4" w:space="0" w:color="auto"/>
              <w:bottom w:val="single" w:sz="4" w:space="0" w:color="auto"/>
            </w:tcBorders>
          </w:tcPr>
          <w:p w14:paraId="7A4D2245" w14:textId="77777777" w:rsidR="008A6C23" w:rsidRPr="008A6C23" w:rsidRDefault="008A6C23" w:rsidP="008A6C23">
            <w:pPr>
              <w:rPr>
                <w:rFonts w:ascii="Calibri" w:hAnsi="Calibri" w:cs="Calibri"/>
                <w:sz w:val="24"/>
                <w:szCs w:val="24"/>
              </w:rPr>
            </w:pPr>
            <w:r w:rsidRPr="008A6C23">
              <w:rPr>
                <w:rStyle w:val="fontstyle01"/>
                <w:rFonts w:ascii="Calibri" w:hAnsi="Calibri" w:cs="Calibri"/>
              </w:rPr>
              <w:t>Frequency</w:t>
            </w:r>
          </w:p>
          <w:p w14:paraId="7C289A1D" w14:textId="77777777" w:rsidR="008A6C23" w:rsidRPr="008A6C23" w:rsidRDefault="008A6C23" w:rsidP="008A6C23">
            <w:pPr>
              <w:rPr>
                <w:rFonts w:ascii="Calibri" w:hAnsi="Calibri" w:cs="Calibri"/>
                <w:sz w:val="24"/>
                <w:szCs w:val="24"/>
              </w:rPr>
            </w:pPr>
          </w:p>
        </w:tc>
        <w:tc>
          <w:tcPr>
            <w:tcW w:w="1931" w:type="dxa"/>
            <w:tcBorders>
              <w:top w:val="single" w:sz="4" w:space="0" w:color="auto"/>
              <w:bottom w:val="single" w:sz="4" w:space="0" w:color="auto"/>
            </w:tcBorders>
          </w:tcPr>
          <w:p w14:paraId="3CAD3DDA" w14:textId="77777777" w:rsidR="008A6C23" w:rsidRPr="008A6C23" w:rsidRDefault="008A6C23" w:rsidP="008A6C23">
            <w:pPr>
              <w:rPr>
                <w:rFonts w:ascii="Calibri" w:hAnsi="Calibri" w:cs="Calibri"/>
                <w:sz w:val="24"/>
                <w:szCs w:val="24"/>
                <w:lang w:val="en-US"/>
              </w:rPr>
            </w:pPr>
            <w:r w:rsidRPr="008A6C23">
              <w:rPr>
                <w:rFonts w:ascii="Calibri" w:hAnsi="Calibri" w:cs="Calibri"/>
                <w:sz w:val="24"/>
                <w:szCs w:val="24"/>
              </w:rPr>
              <w:t>Percentage</w:t>
            </w:r>
            <w:r w:rsidRPr="008A6C23">
              <w:rPr>
                <w:rFonts w:ascii="Calibri" w:hAnsi="Calibri" w:cs="Calibri"/>
                <w:sz w:val="24"/>
                <w:szCs w:val="24"/>
                <w:lang w:val="en-US"/>
              </w:rPr>
              <w:t xml:space="preserve"> (%)</w:t>
            </w:r>
          </w:p>
        </w:tc>
        <w:tc>
          <w:tcPr>
            <w:tcW w:w="1145" w:type="dxa"/>
            <w:tcBorders>
              <w:top w:val="single" w:sz="4" w:space="0" w:color="auto"/>
              <w:bottom w:val="single" w:sz="4" w:space="0" w:color="auto"/>
            </w:tcBorders>
          </w:tcPr>
          <w:p w14:paraId="5D2A9CA6" w14:textId="77777777" w:rsidR="008A6C23" w:rsidRPr="008A6C23" w:rsidRDefault="008A6C23" w:rsidP="008A6C23">
            <w:pPr>
              <w:rPr>
                <w:rFonts w:ascii="Calibri" w:hAnsi="Calibri" w:cs="Calibri"/>
                <w:sz w:val="24"/>
                <w:szCs w:val="24"/>
              </w:rPr>
            </w:pPr>
            <w:r w:rsidRPr="008A6C23">
              <w:rPr>
                <w:rFonts w:ascii="Calibri" w:hAnsi="Calibri" w:cs="Calibri"/>
                <w:sz w:val="24"/>
                <w:szCs w:val="24"/>
              </w:rPr>
              <w:t>Min (M)</w:t>
            </w:r>
          </w:p>
        </w:tc>
        <w:tc>
          <w:tcPr>
            <w:tcW w:w="1285" w:type="dxa"/>
            <w:tcBorders>
              <w:top w:val="single" w:sz="4" w:space="0" w:color="auto"/>
              <w:bottom w:val="single" w:sz="4" w:space="0" w:color="auto"/>
            </w:tcBorders>
          </w:tcPr>
          <w:p w14:paraId="46C87EF2" w14:textId="77777777" w:rsidR="008A6C23" w:rsidRPr="008A6C23" w:rsidRDefault="008A6C23" w:rsidP="008A6C23">
            <w:pPr>
              <w:rPr>
                <w:rFonts w:ascii="Calibri" w:hAnsi="Calibri" w:cs="Calibri"/>
                <w:sz w:val="24"/>
                <w:szCs w:val="24"/>
                <w:lang w:val="en-US"/>
              </w:rPr>
            </w:pPr>
            <w:r w:rsidRPr="008A6C23">
              <w:rPr>
                <w:rFonts w:ascii="Calibri" w:hAnsi="Calibri" w:cs="Calibri"/>
                <w:sz w:val="24"/>
                <w:szCs w:val="24"/>
                <w:lang w:val="en-US"/>
              </w:rPr>
              <w:t>Standard Deviation (SD)</w:t>
            </w:r>
          </w:p>
        </w:tc>
      </w:tr>
      <w:tr w:rsidR="008A6C23" w:rsidRPr="008A6C23" w14:paraId="693A42B7" w14:textId="77777777" w:rsidTr="000B0233">
        <w:tc>
          <w:tcPr>
            <w:tcW w:w="2835" w:type="dxa"/>
            <w:tcBorders>
              <w:top w:val="single" w:sz="4" w:space="0" w:color="auto"/>
            </w:tcBorders>
          </w:tcPr>
          <w:p w14:paraId="603BFABC" w14:textId="77777777" w:rsidR="008A6C23" w:rsidRPr="008A6C23" w:rsidRDefault="008A6C23" w:rsidP="008A6C23">
            <w:pPr>
              <w:spacing w:before="40"/>
              <w:rPr>
                <w:rFonts w:ascii="Calibri" w:hAnsi="Calibri" w:cs="Calibri"/>
                <w:sz w:val="24"/>
                <w:szCs w:val="24"/>
              </w:rPr>
            </w:pPr>
            <w:r w:rsidRPr="008A6C23">
              <w:rPr>
                <w:rFonts w:ascii="Calibri" w:eastAsia="SimSun" w:hAnsi="Calibri" w:cs="Calibri"/>
                <w:sz w:val="24"/>
                <w:szCs w:val="24"/>
                <w:lang w:val="en-US"/>
              </w:rPr>
              <w:lastRenderedPageBreak/>
              <w:t>Low</w:t>
            </w:r>
            <w:r w:rsidRPr="008A6C23">
              <w:rPr>
                <w:rFonts w:ascii="Calibri" w:eastAsia="SimSun" w:hAnsi="Calibri" w:cs="Calibri"/>
                <w:sz w:val="24"/>
                <w:szCs w:val="24"/>
              </w:rPr>
              <w:t xml:space="preserve"> (1.00 – 2.33)</w:t>
            </w:r>
          </w:p>
        </w:tc>
        <w:tc>
          <w:tcPr>
            <w:tcW w:w="1323" w:type="dxa"/>
            <w:tcBorders>
              <w:top w:val="single" w:sz="4" w:space="0" w:color="auto"/>
            </w:tcBorders>
          </w:tcPr>
          <w:p w14:paraId="780ED56F" w14:textId="77777777" w:rsidR="008A6C23" w:rsidRPr="008A6C23" w:rsidRDefault="008A6C23" w:rsidP="008A6C23">
            <w:pPr>
              <w:rPr>
                <w:rFonts w:ascii="Calibri" w:hAnsi="Calibri" w:cs="Calibri"/>
                <w:sz w:val="24"/>
                <w:szCs w:val="24"/>
              </w:rPr>
            </w:pPr>
            <w:r w:rsidRPr="008A6C23">
              <w:rPr>
                <w:rFonts w:ascii="Calibri" w:hAnsi="Calibri" w:cs="Calibri"/>
                <w:sz w:val="24"/>
                <w:szCs w:val="24"/>
              </w:rPr>
              <w:t>17</w:t>
            </w:r>
          </w:p>
        </w:tc>
        <w:tc>
          <w:tcPr>
            <w:tcW w:w="1931" w:type="dxa"/>
            <w:tcBorders>
              <w:top w:val="single" w:sz="4" w:space="0" w:color="auto"/>
            </w:tcBorders>
          </w:tcPr>
          <w:p w14:paraId="6C1F0D0A" w14:textId="77777777" w:rsidR="008A6C23" w:rsidRPr="008A6C23" w:rsidRDefault="008A6C23" w:rsidP="008A6C23">
            <w:pPr>
              <w:rPr>
                <w:rFonts w:ascii="Calibri" w:hAnsi="Calibri" w:cs="Calibri"/>
                <w:sz w:val="24"/>
                <w:szCs w:val="24"/>
              </w:rPr>
            </w:pPr>
            <w:r w:rsidRPr="008A6C23">
              <w:rPr>
                <w:rFonts w:ascii="Calibri" w:hAnsi="Calibri" w:cs="Calibri"/>
                <w:sz w:val="24"/>
                <w:szCs w:val="24"/>
              </w:rPr>
              <w:t>11.3</w:t>
            </w:r>
          </w:p>
        </w:tc>
        <w:tc>
          <w:tcPr>
            <w:tcW w:w="1145" w:type="dxa"/>
            <w:vMerge w:val="restart"/>
            <w:tcBorders>
              <w:top w:val="single" w:sz="4" w:space="0" w:color="auto"/>
            </w:tcBorders>
          </w:tcPr>
          <w:p w14:paraId="7E443370" w14:textId="77777777" w:rsidR="008A6C23" w:rsidRPr="008A6C23" w:rsidRDefault="008A6C23" w:rsidP="008A6C23">
            <w:pPr>
              <w:rPr>
                <w:rFonts w:ascii="Calibri" w:hAnsi="Calibri" w:cs="Calibri"/>
                <w:sz w:val="24"/>
                <w:szCs w:val="24"/>
              </w:rPr>
            </w:pPr>
            <w:r w:rsidRPr="008A6C23">
              <w:rPr>
                <w:rFonts w:ascii="Calibri" w:hAnsi="Calibri" w:cs="Calibri"/>
                <w:sz w:val="24"/>
                <w:szCs w:val="24"/>
              </w:rPr>
              <w:t>3.5703</w:t>
            </w:r>
          </w:p>
        </w:tc>
        <w:tc>
          <w:tcPr>
            <w:tcW w:w="1285" w:type="dxa"/>
            <w:vMerge w:val="restart"/>
            <w:tcBorders>
              <w:top w:val="single" w:sz="4" w:space="0" w:color="auto"/>
            </w:tcBorders>
          </w:tcPr>
          <w:p w14:paraId="197644CE" w14:textId="77777777" w:rsidR="008A6C23" w:rsidRPr="008A6C23" w:rsidRDefault="008A6C23" w:rsidP="008A6C23">
            <w:pPr>
              <w:rPr>
                <w:rFonts w:ascii="Calibri" w:hAnsi="Calibri" w:cs="Calibri"/>
                <w:sz w:val="24"/>
                <w:szCs w:val="24"/>
                <w:lang w:val="en-US"/>
              </w:rPr>
            </w:pPr>
            <w:r w:rsidRPr="008A6C23">
              <w:rPr>
                <w:rFonts w:ascii="Calibri" w:hAnsi="Calibri" w:cs="Calibri"/>
                <w:sz w:val="24"/>
                <w:szCs w:val="24"/>
                <w:lang w:val="en-US"/>
              </w:rPr>
              <w:t>0.8747</w:t>
            </w:r>
          </w:p>
        </w:tc>
      </w:tr>
      <w:tr w:rsidR="008A6C23" w:rsidRPr="008A6C23" w14:paraId="029D3A5A" w14:textId="77777777" w:rsidTr="000B0233">
        <w:tc>
          <w:tcPr>
            <w:tcW w:w="2835" w:type="dxa"/>
          </w:tcPr>
          <w:p w14:paraId="7B1E42F0" w14:textId="77777777" w:rsidR="008A6C23" w:rsidRPr="008A6C23" w:rsidRDefault="008A6C23" w:rsidP="008A6C23">
            <w:pPr>
              <w:spacing w:before="40"/>
              <w:rPr>
                <w:rFonts w:ascii="Calibri" w:hAnsi="Calibri" w:cs="Calibri"/>
                <w:sz w:val="24"/>
                <w:szCs w:val="24"/>
              </w:rPr>
            </w:pPr>
            <w:r w:rsidRPr="008A6C23">
              <w:rPr>
                <w:rFonts w:ascii="Calibri" w:eastAsia="SimSun" w:hAnsi="Calibri" w:cs="Calibri"/>
                <w:sz w:val="24"/>
                <w:szCs w:val="24"/>
                <w:lang w:val="en-US"/>
              </w:rPr>
              <w:t>Moderate</w:t>
            </w:r>
            <w:r w:rsidRPr="008A6C23">
              <w:rPr>
                <w:rFonts w:ascii="Calibri" w:eastAsia="SimSun" w:hAnsi="Calibri" w:cs="Calibri"/>
                <w:sz w:val="24"/>
                <w:szCs w:val="24"/>
              </w:rPr>
              <w:t xml:space="preserve"> (2.34 – 3.67) </w:t>
            </w:r>
          </w:p>
        </w:tc>
        <w:tc>
          <w:tcPr>
            <w:tcW w:w="1323" w:type="dxa"/>
          </w:tcPr>
          <w:p w14:paraId="52FAF6EF" w14:textId="77777777" w:rsidR="008A6C23" w:rsidRPr="008A6C23" w:rsidRDefault="008A6C23" w:rsidP="008A6C23">
            <w:pPr>
              <w:rPr>
                <w:rFonts w:ascii="Calibri" w:hAnsi="Calibri" w:cs="Calibri"/>
                <w:sz w:val="24"/>
                <w:szCs w:val="24"/>
              </w:rPr>
            </w:pPr>
            <w:r w:rsidRPr="008A6C23">
              <w:rPr>
                <w:rFonts w:ascii="Calibri" w:hAnsi="Calibri" w:cs="Calibri"/>
                <w:sz w:val="24"/>
                <w:szCs w:val="24"/>
              </w:rPr>
              <w:t>57</w:t>
            </w:r>
          </w:p>
        </w:tc>
        <w:tc>
          <w:tcPr>
            <w:tcW w:w="1931" w:type="dxa"/>
          </w:tcPr>
          <w:p w14:paraId="00E01182" w14:textId="77777777" w:rsidR="008A6C23" w:rsidRPr="008A6C23" w:rsidRDefault="008A6C23" w:rsidP="008A6C23">
            <w:pPr>
              <w:rPr>
                <w:rFonts w:ascii="Calibri" w:hAnsi="Calibri" w:cs="Calibri"/>
                <w:sz w:val="24"/>
                <w:szCs w:val="24"/>
              </w:rPr>
            </w:pPr>
            <w:r w:rsidRPr="008A6C23">
              <w:rPr>
                <w:rFonts w:ascii="Calibri" w:hAnsi="Calibri" w:cs="Calibri"/>
                <w:sz w:val="24"/>
                <w:szCs w:val="24"/>
              </w:rPr>
              <w:t>38.0</w:t>
            </w:r>
          </w:p>
        </w:tc>
        <w:tc>
          <w:tcPr>
            <w:tcW w:w="1145" w:type="dxa"/>
            <w:vMerge/>
          </w:tcPr>
          <w:p w14:paraId="2F0C642C" w14:textId="77777777" w:rsidR="008A6C23" w:rsidRPr="008A6C23" w:rsidRDefault="008A6C23" w:rsidP="008A6C23">
            <w:pPr>
              <w:rPr>
                <w:rFonts w:ascii="Calibri" w:hAnsi="Calibri" w:cs="Calibri"/>
                <w:sz w:val="24"/>
                <w:szCs w:val="24"/>
              </w:rPr>
            </w:pPr>
          </w:p>
        </w:tc>
        <w:tc>
          <w:tcPr>
            <w:tcW w:w="1285" w:type="dxa"/>
            <w:vMerge/>
          </w:tcPr>
          <w:p w14:paraId="096BAB74" w14:textId="77777777" w:rsidR="008A6C23" w:rsidRPr="008A6C23" w:rsidRDefault="008A6C23" w:rsidP="008A6C23">
            <w:pPr>
              <w:rPr>
                <w:rFonts w:ascii="Calibri" w:hAnsi="Calibri" w:cs="Calibri"/>
                <w:sz w:val="24"/>
                <w:szCs w:val="24"/>
              </w:rPr>
            </w:pPr>
          </w:p>
        </w:tc>
      </w:tr>
      <w:tr w:rsidR="008A6C23" w:rsidRPr="008A6C23" w14:paraId="6094FDA3" w14:textId="77777777" w:rsidTr="000B0233">
        <w:tc>
          <w:tcPr>
            <w:tcW w:w="2835" w:type="dxa"/>
          </w:tcPr>
          <w:p w14:paraId="64D4492D" w14:textId="77777777" w:rsidR="008A6C23" w:rsidRPr="008A6C23" w:rsidRDefault="008A6C23" w:rsidP="008A6C23">
            <w:pPr>
              <w:spacing w:before="40"/>
              <w:rPr>
                <w:rFonts w:ascii="Calibri" w:hAnsi="Calibri" w:cs="Calibri"/>
                <w:sz w:val="24"/>
                <w:szCs w:val="24"/>
              </w:rPr>
            </w:pPr>
            <w:r w:rsidRPr="008A6C23">
              <w:rPr>
                <w:rFonts w:ascii="Calibri" w:eastAsia="SimSun" w:hAnsi="Calibri" w:cs="Calibri"/>
                <w:sz w:val="24"/>
                <w:szCs w:val="24"/>
                <w:lang w:val="en-US"/>
              </w:rPr>
              <w:t>High</w:t>
            </w:r>
            <w:r w:rsidRPr="008A6C23">
              <w:rPr>
                <w:rFonts w:ascii="Calibri" w:eastAsia="SimSun" w:hAnsi="Calibri" w:cs="Calibri"/>
                <w:sz w:val="24"/>
                <w:szCs w:val="24"/>
              </w:rPr>
              <w:t xml:space="preserve"> (3.68 – 5.00)</w:t>
            </w:r>
          </w:p>
        </w:tc>
        <w:tc>
          <w:tcPr>
            <w:tcW w:w="1323" w:type="dxa"/>
          </w:tcPr>
          <w:p w14:paraId="3F082791" w14:textId="77777777" w:rsidR="008A6C23" w:rsidRPr="008A6C23" w:rsidRDefault="008A6C23" w:rsidP="008A6C23">
            <w:pPr>
              <w:rPr>
                <w:rFonts w:ascii="Calibri" w:hAnsi="Calibri" w:cs="Calibri"/>
                <w:sz w:val="24"/>
                <w:szCs w:val="24"/>
              </w:rPr>
            </w:pPr>
            <w:r w:rsidRPr="008A6C23">
              <w:rPr>
                <w:rFonts w:ascii="Calibri" w:hAnsi="Calibri" w:cs="Calibri"/>
                <w:sz w:val="24"/>
                <w:szCs w:val="24"/>
              </w:rPr>
              <w:t>76</w:t>
            </w:r>
          </w:p>
        </w:tc>
        <w:tc>
          <w:tcPr>
            <w:tcW w:w="1931" w:type="dxa"/>
          </w:tcPr>
          <w:p w14:paraId="36E2C12A" w14:textId="77777777" w:rsidR="008A6C23" w:rsidRPr="008A6C23" w:rsidRDefault="008A6C23" w:rsidP="008A6C23">
            <w:pPr>
              <w:rPr>
                <w:rFonts w:ascii="Calibri" w:hAnsi="Calibri" w:cs="Calibri"/>
                <w:sz w:val="24"/>
                <w:szCs w:val="24"/>
              </w:rPr>
            </w:pPr>
            <w:r w:rsidRPr="008A6C23">
              <w:rPr>
                <w:rFonts w:ascii="Calibri" w:hAnsi="Calibri" w:cs="Calibri"/>
                <w:sz w:val="24"/>
                <w:szCs w:val="24"/>
              </w:rPr>
              <w:t>50.7</w:t>
            </w:r>
          </w:p>
        </w:tc>
        <w:tc>
          <w:tcPr>
            <w:tcW w:w="1145" w:type="dxa"/>
            <w:vMerge/>
          </w:tcPr>
          <w:p w14:paraId="341939C8" w14:textId="77777777" w:rsidR="008A6C23" w:rsidRPr="008A6C23" w:rsidRDefault="008A6C23" w:rsidP="008A6C23">
            <w:pPr>
              <w:rPr>
                <w:rFonts w:ascii="Calibri" w:hAnsi="Calibri" w:cs="Calibri"/>
                <w:sz w:val="24"/>
                <w:szCs w:val="24"/>
              </w:rPr>
            </w:pPr>
          </w:p>
        </w:tc>
        <w:tc>
          <w:tcPr>
            <w:tcW w:w="1285" w:type="dxa"/>
            <w:vMerge/>
          </w:tcPr>
          <w:p w14:paraId="46CA791C" w14:textId="77777777" w:rsidR="008A6C23" w:rsidRPr="008A6C23" w:rsidRDefault="008A6C23" w:rsidP="008A6C23">
            <w:pPr>
              <w:rPr>
                <w:rFonts w:ascii="Calibri" w:hAnsi="Calibri" w:cs="Calibri"/>
                <w:sz w:val="24"/>
                <w:szCs w:val="24"/>
              </w:rPr>
            </w:pPr>
          </w:p>
        </w:tc>
      </w:tr>
      <w:tr w:rsidR="008A6C23" w:rsidRPr="008A6C23" w14:paraId="731BCA96" w14:textId="77777777" w:rsidTr="000B0233">
        <w:tc>
          <w:tcPr>
            <w:tcW w:w="2835" w:type="dxa"/>
          </w:tcPr>
          <w:p w14:paraId="4ED34795" w14:textId="77777777" w:rsidR="008A6C23" w:rsidRPr="008A6C23" w:rsidRDefault="008A6C23" w:rsidP="008A6C23">
            <w:pPr>
              <w:rPr>
                <w:rFonts w:ascii="Calibri" w:hAnsi="Calibri" w:cs="Calibri"/>
                <w:sz w:val="24"/>
                <w:szCs w:val="24"/>
                <w:lang w:val="en-US"/>
              </w:rPr>
            </w:pPr>
            <w:r w:rsidRPr="008A6C23">
              <w:rPr>
                <w:rFonts w:ascii="Calibri" w:hAnsi="Calibri" w:cs="Calibri"/>
                <w:sz w:val="24"/>
                <w:szCs w:val="24"/>
                <w:lang w:val="en-US"/>
              </w:rPr>
              <w:t>Total</w:t>
            </w:r>
          </w:p>
        </w:tc>
        <w:tc>
          <w:tcPr>
            <w:tcW w:w="1323" w:type="dxa"/>
          </w:tcPr>
          <w:p w14:paraId="1A6DF227" w14:textId="77777777" w:rsidR="008A6C23" w:rsidRPr="008A6C23" w:rsidRDefault="008A6C23" w:rsidP="008A6C23">
            <w:pPr>
              <w:rPr>
                <w:rFonts w:ascii="Calibri" w:hAnsi="Calibri" w:cs="Calibri"/>
                <w:sz w:val="24"/>
                <w:szCs w:val="24"/>
              </w:rPr>
            </w:pPr>
            <w:r w:rsidRPr="008A6C23">
              <w:rPr>
                <w:rFonts w:ascii="Calibri" w:hAnsi="Calibri" w:cs="Calibri"/>
                <w:sz w:val="24"/>
                <w:szCs w:val="24"/>
              </w:rPr>
              <w:t>150</w:t>
            </w:r>
          </w:p>
        </w:tc>
        <w:tc>
          <w:tcPr>
            <w:tcW w:w="1931" w:type="dxa"/>
          </w:tcPr>
          <w:p w14:paraId="06EF7F8A" w14:textId="77777777" w:rsidR="008A6C23" w:rsidRPr="008A6C23" w:rsidRDefault="008A6C23" w:rsidP="008A6C23">
            <w:pPr>
              <w:rPr>
                <w:rFonts w:ascii="Calibri" w:hAnsi="Calibri" w:cs="Calibri"/>
                <w:sz w:val="24"/>
                <w:szCs w:val="24"/>
              </w:rPr>
            </w:pPr>
            <w:r w:rsidRPr="008A6C23">
              <w:rPr>
                <w:rFonts w:ascii="Calibri" w:hAnsi="Calibri" w:cs="Calibri"/>
                <w:sz w:val="24"/>
                <w:szCs w:val="24"/>
              </w:rPr>
              <w:t>100.0</w:t>
            </w:r>
          </w:p>
        </w:tc>
        <w:tc>
          <w:tcPr>
            <w:tcW w:w="1145" w:type="dxa"/>
            <w:vMerge/>
          </w:tcPr>
          <w:p w14:paraId="2CFC7B8B" w14:textId="77777777" w:rsidR="008A6C23" w:rsidRPr="008A6C23" w:rsidRDefault="008A6C23" w:rsidP="008A6C23">
            <w:pPr>
              <w:rPr>
                <w:rFonts w:ascii="Calibri" w:hAnsi="Calibri" w:cs="Calibri"/>
                <w:sz w:val="24"/>
                <w:szCs w:val="24"/>
              </w:rPr>
            </w:pPr>
          </w:p>
        </w:tc>
        <w:tc>
          <w:tcPr>
            <w:tcW w:w="1285" w:type="dxa"/>
            <w:vMerge/>
          </w:tcPr>
          <w:p w14:paraId="6D1C55FD" w14:textId="77777777" w:rsidR="008A6C23" w:rsidRPr="008A6C23" w:rsidRDefault="008A6C23" w:rsidP="008A6C23">
            <w:pPr>
              <w:rPr>
                <w:rFonts w:ascii="Calibri" w:hAnsi="Calibri" w:cs="Calibri"/>
                <w:sz w:val="24"/>
                <w:szCs w:val="24"/>
              </w:rPr>
            </w:pPr>
          </w:p>
        </w:tc>
      </w:tr>
    </w:tbl>
    <w:p w14:paraId="0C37CA1E" w14:textId="77777777" w:rsidR="008A6C23" w:rsidRPr="008A6C23" w:rsidRDefault="008A6C23" w:rsidP="008A6C23">
      <w:pPr>
        <w:spacing w:after="0" w:line="240" w:lineRule="auto"/>
        <w:jc w:val="both"/>
        <w:rPr>
          <w:rFonts w:ascii="Calibri" w:eastAsia="Times New Roman" w:hAnsi="Calibri" w:cs="Calibri"/>
          <w:sz w:val="24"/>
          <w:szCs w:val="24"/>
        </w:rPr>
      </w:pPr>
    </w:p>
    <w:p w14:paraId="7A3A899D" w14:textId="12751A0E" w:rsidR="008A6C23" w:rsidRPr="008A6C23" w:rsidRDefault="008A6C23" w:rsidP="008A6C23">
      <w:pPr>
        <w:spacing w:after="0" w:line="240" w:lineRule="auto"/>
        <w:jc w:val="both"/>
        <w:rPr>
          <w:rFonts w:ascii="Calibri" w:eastAsia="Times New Roman" w:hAnsi="Calibri" w:cs="Calibri"/>
          <w:b/>
          <w:bCs/>
          <w:sz w:val="24"/>
          <w:szCs w:val="24"/>
          <w:lang w:val="en-US"/>
        </w:rPr>
      </w:pPr>
      <w:r w:rsidRPr="008A6C23">
        <w:rPr>
          <w:rFonts w:ascii="Calibri" w:eastAsia="Times New Roman" w:hAnsi="Calibri" w:cs="Calibri"/>
          <w:b/>
          <w:bCs/>
          <w:sz w:val="24"/>
          <w:szCs w:val="24"/>
          <w:lang w:val="en-US"/>
        </w:rPr>
        <w:t xml:space="preserve">Attitude Level </w:t>
      </w:r>
      <w:proofErr w:type="gramStart"/>
      <w:r w:rsidRPr="008A6C23">
        <w:rPr>
          <w:rFonts w:ascii="Calibri" w:eastAsia="Times New Roman" w:hAnsi="Calibri" w:cs="Calibri"/>
          <w:b/>
          <w:bCs/>
          <w:sz w:val="24"/>
          <w:szCs w:val="24"/>
          <w:lang w:val="en-US"/>
        </w:rPr>
        <w:t>To</w:t>
      </w:r>
      <w:proofErr w:type="gramEnd"/>
      <w:r w:rsidRPr="008A6C23">
        <w:rPr>
          <w:rFonts w:ascii="Calibri" w:eastAsia="Times New Roman" w:hAnsi="Calibri" w:cs="Calibri"/>
          <w:b/>
          <w:bCs/>
          <w:sz w:val="24"/>
          <w:szCs w:val="24"/>
          <w:lang w:val="en-US"/>
        </w:rPr>
        <w:t xml:space="preserve"> Communicate In Arabic</w:t>
      </w:r>
    </w:p>
    <w:p w14:paraId="32BE52AF" w14:textId="77777777" w:rsidR="008A6C23" w:rsidRPr="008A6C23" w:rsidRDefault="008A6C23" w:rsidP="008A6C23">
      <w:pPr>
        <w:spacing w:after="0" w:line="240" w:lineRule="auto"/>
        <w:jc w:val="both"/>
        <w:rPr>
          <w:rFonts w:ascii="Calibri" w:eastAsia="SimSun" w:hAnsi="Calibri" w:cs="Calibri"/>
          <w:sz w:val="24"/>
          <w:szCs w:val="24"/>
          <w:lang w:eastAsia="en-MY"/>
        </w:rPr>
      </w:pPr>
      <w:r w:rsidRPr="008A6C23">
        <w:rPr>
          <w:rFonts w:ascii="Calibri" w:eastAsia="Times New Roman" w:hAnsi="Calibri" w:cs="Calibri"/>
          <w:sz w:val="24"/>
          <w:szCs w:val="24"/>
          <w:lang w:val="en-US"/>
        </w:rPr>
        <w:t xml:space="preserve">The results of the study on the level of attitude to communicate in Arabic among the students of Kolej </w:t>
      </w:r>
      <w:proofErr w:type="spellStart"/>
      <w:r w:rsidRPr="008A6C23">
        <w:rPr>
          <w:rFonts w:ascii="Calibri" w:eastAsia="Times New Roman" w:hAnsi="Calibri" w:cs="Calibri"/>
          <w:sz w:val="24"/>
          <w:szCs w:val="24"/>
          <w:lang w:val="en-US"/>
        </w:rPr>
        <w:t>Universiti</w:t>
      </w:r>
      <w:proofErr w:type="spellEnd"/>
      <w:r w:rsidRPr="008A6C23">
        <w:rPr>
          <w:rFonts w:ascii="Calibri" w:eastAsia="Times New Roman" w:hAnsi="Calibri" w:cs="Calibri"/>
          <w:sz w:val="24"/>
          <w:szCs w:val="24"/>
          <w:lang w:val="en-US"/>
        </w:rPr>
        <w:t xml:space="preserve"> Islam Perlis are shown in Table 2. The results of the study show that 72 percent or 108 respondents feel that the attitude to communicate in Arabic is high. While a total of 40 respondents or 26.7 percent think their level of attitude to communicate in Arabic is moderate. While only 2 respondents or 1.3 percent feel that the level of attitude to communicate in Arabic is low. The attitude factor is measured using a five-choice answer scale from "strongly disagree" to "strongly agree". The results of the study show that on average, the respondents' scores for this study </w:t>
      </w:r>
      <w:proofErr w:type="gramStart"/>
      <w:r w:rsidRPr="008A6C23">
        <w:rPr>
          <w:rFonts w:ascii="Calibri" w:eastAsia="Times New Roman" w:hAnsi="Calibri" w:cs="Calibri"/>
          <w:sz w:val="24"/>
          <w:szCs w:val="24"/>
          <w:lang w:val="en-US"/>
        </w:rPr>
        <w:t>is</w:t>
      </w:r>
      <w:proofErr w:type="gramEnd"/>
      <w:r w:rsidRPr="008A6C23">
        <w:rPr>
          <w:rFonts w:ascii="Calibri" w:eastAsia="Times New Roman" w:hAnsi="Calibri" w:cs="Calibri"/>
          <w:sz w:val="24"/>
          <w:szCs w:val="24"/>
          <w:lang w:val="en-US"/>
        </w:rPr>
        <w:t xml:space="preserve"> at a high level (M = 3.9248, SD=0.5657).</w:t>
      </w:r>
    </w:p>
    <w:p w14:paraId="4A76C6C9" w14:textId="77777777" w:rsidR="008A6C23" w:rsidRDefault="008A6C23" w:rsidP="008A6C23">
      <w:pPr>
        <w:spacing w:after="0" w:line="240" w:lineRule="auto"/>
        <w:jc w:val="both"/>
        <w:rPr>
          <w:rFonts w:ascii="Calibri" w:eastAsia="Times New Roman" w:hAnsi="Calibri" w:cs="Calibri"/>
          <w:sz w:val="24"/>
          <w:szCs w:val="24"/>
        </w:rPr>
      </w:pPr>
      <w:r w:rsidRPr="008A6C23">
        <w:rPr>
          <w:rFonts w:ascii="Calibri" w:eastAsia="Times New Roman" w:hAnsi="Calibri" w:cs="Calibri"/>
          <w:sz w:val="24"/>
          <w:szCs w:val="24"/>
        </w:rPr>
        <w:t>Table 2: Distribution of respondents according to the level of attitude to communicate in Arabic</w:t>
      </w:r>
    </w:p>
    <w:p w14:paraId="020D3D3A" w14:textId="77777777" w:rsidR="008C0665" w:rsidRPr="008A6C23" w:rsidRDefault="008C0665" w:rsidP="008A6C23">
      <w:pPr>
        <w:spacing w:after="0" w:line="240" w:lineRule="auto"/>
        <w:jc w:val="both"/>
        <w:rPr>
          <w:rFonts w:ascii="Calibri" w:eastAsia="SimSun" w:hAnsi="Calibri" w:cs="Calibri"/>
          <w:sz w:val="24"/>
          <w:szCs w:val="24"/>
          <w:lang w:eastAsia="en-MY"/>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323"/>
        <w:gridCol w:w="1931"/>
        <w:gridCol w:w="1145"/>
        <w:gridCol w:w="1285"/>
      </w:tblGrid>
      <w:tr w:rsidR="008A6C23" w:rsidRPr="008A6C23" w14:paraId="46860E53" w14:textId="77777777" w:rsidTr="000B0233">
        <w:tc>
          <w:tcPr>
            <w:tcW w:w="2835" w:type="dxa"/>
            <w:tcBorders>
              <w:top w:val="single" w:sz="4" w:space="0" w:color="auto"/>
              <w:bottom w:val="single" w:sz="4" w:space="0" w:color="auto"/>
            </w:tcBorders>
          </w:tcPr>
          <w:p w14:paraId="49B4E43C" w14:textId="77777777" w:rsidR="008A6C23" w:rsidRPr="008A6C23" w:rsidRDefault="008A6C23" w:rsidP="008A6C23">
            <w:pPr>
              <w:rPr>
                <w:rFonts w:ascii="Calibri" w:hAnsi="Calibri" w:cs="Calibri"/>
                <w:sz w:val="24"/>
                <w:szCs w:val="24"/>
                <w:lang w:val="en-US"/>
              </w:rPr>
            </w:pPr>
            <w:r w:rsidRPr="008A6C23">
              <w:rPr>
                <w:rFonts w:ascii="Calibri" w:hAnsi="Calibri" w:cs="Calibri"/>
                <w:sz w:val="24"/>
                <w:szCs w:val="24"/>
                <w:lang w:val="en-US"/>
              </w:rPr>
              <w:t>Level of Attitude</w:t>
            </w:r>
          </w:p>
        </w:tc>
        <w:tc>
          <w:tcPr>
            <w:tcW w:w="1323" w:type="dxa"/>
            <w:tcBorders>
              <w:top w:val="single" w:sz="4" w:space="0" w:color="auto"/>
              <w:bottom w:val="single" w:sz="4" w:space="0" w:color="auto"/>
            </w:tcBorders>
          </w:tcPr>
          <w:p w14:paraId="3BA4BC1F" w14:textId="77777777" w:rsidR="008A6C23" w:rsidRPr="008A6C23" w:rsidRDefault="008A6C23" w:rsidP="008A6C23">
            <w:pPr>
              <w:rPr>
                <w:rFonts w:ascii="Calibri" w:hAnsi="Calibri" w:cs="Calibri"/>
                <w:sz w:val="24"/>
                <w:szCs w:val="24"/>
              </w:rPr>
            </w:pPr>
            <w:r w:rsidRPr="008A6C23">
              <w:rPr>
                <w:rStyle w:val="fontstyle01"/>
                <w:rFonts w:ascii="Calibri" w:hAnsi="Calibri" w:cs="Calibri"/>
              </w:rPr>
              <w:t>Frequency</w:t>
            </w:r>
          </w:p>
          <w:p w14:paraId="39D1C170" w14:textId="77777777" w:rsidR="008A6C23" w:rsidRPr="008A6C23" w:rsidRDefault="008A6C23" w:rsidP="008A6C23">
            <w:pPr>
              <w:rPr>
                <w:rFonts w:ascii="Calibri" w:hAnsi="Calibri" w:cs="Calibri"/>
                <w:sz w:val="24"/>
                <w:szCs w:val="24"/>
              </w:rPr>
            </w:pPr>
          </w:p>
        </w:tc>
        <w:tc>
          <w:tcPr>
            <w:tcW w:w="1931" w:type="dxa"/>
            <w:tcBorders>
              <w:top w:val="single" w:sz="4" w:space="0" w:color="auto"/>
              <w:bottom w:val="single" w:sz="4" w:space="0" w:color="auto"/>
            </w:tcBorders>
          </w:tcPr>
          <w:p w14:paraId="3EF6A6CD" w14:textId="77777777" w:rsidR="008A6C23" w:rsidRPr="008A6C23" w:rsidRDefault="008A6C23" w:rsidP="008A6C23">
            <w:pPr>
              <w:rPr>
                <w:rFonts w:ascii="Calibri" w:hAnsi="Calibri" w:cs="Calibri"/>
                <w:sz w:val="24"/>
                <w:szCs w:val="24"/>
                <w:lang w:val="en-US"/>
              </w:rPr>
            </w:pPr>
            <w:r w:rsidRPr="008A6C23">
              <w:rPr>
                <w:rFonts w:ascii="Calibri" w:hAnsi="Calibri" w:cs="Calibri"/>
                <w:sz w:val="24"/>
                <w:szCs w:val="24"/>
              </w:rPr>
              <w:t>Percentage</w:t>
            </w:r>
            <w:r w:rsidRPr="008A6C23">
              <w:rPr>
                <w:rFonts w:ascii="Calibri" w:hAnsi="Calibri" w:cs="Calibri"/>
                <w:sz w:val="24"/>
                <w:szCs w:val="24"/>
                <w:lang w:val="en-US"/>
              </w:rPr>
              <w:t xml:space="preserve"> (%)</w:t>
            </w:r>
          </w:p>
        </w:tc>
        <w:tc>
          <w:tcPr>
            <w:tcW w:w="1145" w:type="dxa"/>
            <w:tcBorders>
              <w:top w:val="single" w:sz="4" w:space="0" w:color="auto"/>
              <w:bottom w:val="single" w:sz="4" w:space="0" w:color="auto"/>
            </w:tcBorders>
          </w:tcPr>
          <w:p w14:paraId="1769DA65" w14:textId="77777777" w:rsidR="008A6C23" w:rsidRPr="008A6C23" w:rsidRDefault="008A6C23" w:rsidP="008A6C23">
            <w:pPr>
              <w:rPr>
                <w:rFonts w:ascii="Calibri" w:hAnsi="Calibri" w:cs="Calibri"/>
                <w:sz w:val="24"/>
                <w:szCs w:val="24"/>
              </w:rPr>
            </w:pPr>
            <w:r w:rsidRPr="008A6C23">
              <w:rPr>
                <w:rFonts w:ascii="Calibri" w:hAnsi="Calibri" w:cs="Calibri"/>
                <w:sz w:val="24"/>
                <w:szCs w:val="24"/>
              </w:rPr>
              <w:t>Min (M)</w:t>
            </w:r>
          </w:p>
        </w:tc>
        <w:tc>
          <w:tcPr>
            <w:tcW w:w="1285" w:type="dxa"/>
            <w:tcBorders>
              <w:top w:val="single" w:sz="4" w:space="0" w:color="auto"/>
              <w:bottom w:val="single" w:sz="4" w:space="0" w:color="auto"/>
            </w:tcBorders>
          </w:tcPr>
          <w:p w14:paraId="52EC18F3" w14:textId="77777777" w:rsidR="008A6C23" w:rsidRPr="008A6C23" w:rsidRDefault="008A6C23" w:rsidP="008A6C23">
            <w:pPr>
              <w:rPr>
                <w:rFonts w:ascii="Calibri" w:hAnsi="Calibri" w:cs="Calibri"/>
                <w:sz w:val="24"/>
                <w:szCs w:val="24"/>
                <w:lang w:val="en-US"/>
              </w:rPr>
            </w:pPr>
            <w:r w:rsidRPr="008A6C23">
              <w:rPr>
                <w:rFonts w:ascii="Calibri" w:hAnsi="Calibri" w:cs="Calibri"/>
                <w:sz w:val="24"/>
                <w:szCs w:val="24"/>
                <w:lang w:val="en-US"/>
              </w:rPr>
              <w:t>Standard Deviation (SD)</w:t>
            </w:r>
          </w:p>
        </w:tc>
      </w:tr>
      <w:tr w:rsidR="008A6C23" w:rsidRPr="008A6C23" w14:paraId="124FD69A" w14:textId="77777777" w:rsidTr="000B0233">
        <w:tc>
          <w:tcPr>
            <w:tcW w:w="2835" w:type="dxa"/>
            <w:tcBorders>
              <w:top w:val="single" w:sz="4" w:space="0" w:color="auto"/>
            </w:tcBorders>
          </w:tcPr>
          <w:p w14:paraId="1FE05D25" w14:textId="77777777" w:rsidR="008A6C23" w:rsidRPr="008A6C23" w:rsidRDefault="008A6C23" w:rsidP="008A6C23">
            <w:pPr>
              <w:spacing w:before="40"/>
              <w:rPr>
                <w:rFonts w:ascii="Calibri" w:hAnsi="Calibri" w:cs="Calibri"/>
                <w:sz w:val="24"/>
                <w:szCs w:val="24"/>
              </w:rPr>
            </w:pPr>
            <w:r w:rsidRPr="008A6C23">
              <w:rPr>
                <w:rFonts w:ascii="Calibri" w:eastAsia="SimSun" w:hAnsi="Calibri" w:cs="Calibri"/>
                <w:sz w:val="24"/>
                <w:szCs w:val="24"/>
                <w:lang w:val="en-US"/>
              </w:rPr>
              <w:t>Low</w:t>
            </w:r>
            <w:r w:rsidRPr="008A6C23">
              <w:rPr>
                <w:rFonts w:ascii="Calibri" w:eastAsia="SimSun" w:hAnsi="Calibri" w:cs="Calibri"/>
                <w:sz w:val="24"/>
                <w:szCs w:val="24"/>
              </w:rPr>
              <w:t xml:space="preserve"> (1.00 – 2.33)</w:t>
            </w:r>
          </w:p>
        </w:tc>
        <w:tc>
          <w:tcPr>
            <w:tcW w:w="1323" w:type="dxa"/>
            <w:tcBorders>
              <w:top w:val="single" w:sz="4" w:space="0" w:color="auto"/>
            </w:tcBorders>
          </w:tcPr>
          <w:p w14:paraId="7D6229DB" w14:textId="77777777" w:rsidR="008A6C23" w:rsidRPr="008A6C23" w:rsidRDefault="008A6C23" w:rsidP="008A6C23">
            <w:pPr>
              <w:rPr>
                <w:rFonts w:ascii="Calibri" w:hAnsi="Calibri" w:cs="Calibri"/>
                <w:sz w:val="24"/>
                <w:szCs w:val="24"/>
              </w:rPr>
            </w:pPr>
            <w:r w:rsidRPr="008A6C23">
              <w:rPr>
                <w:rFonts w:ascii="Calibri" w:hAnsi="Calibri" w:cs="Calibri"/>
                <w:sz w:val="24"/>
                <w:szCs w:val="24"/>
              </w:rPr>
              <w:t>2</w:t>
            </w:r>
          </w:p>
        </w:tc>
        <w:tc>
          <w:tcPr>
            <w:tcW w:w="1931" w:type="dxa"/>
            <w:tcBorders>
              <w:top w:val="single" w:sz="4" w:space="0" w:color="auto"/>
            </w:tcBorders>
          </w:tcPr>
          <w:p w14:paraId="39ECB976" w14:textId="77777777" w:rsidR="008A6C23" w:rsidRPr="008A6C23" w:rsidRDefault="008A6C23" w:rsidP="008A6C23">
            <w:pPr>
              <w:rPr>
                <w:rFonts w:ascii="Calibri" w:hAnsi="Calibri" w:cs="Calibri"/>
                <w:sz w:val="24"/>
                <w:szCs w:val="24"/>
              </w:rPr>
            </w:pPr>
            <w:r w:rsidRPr="008A6C23">
              <w:rPr>
                <w:rFonts w:ascii="Calibri" w:hAnsi="Calibri" w:cs="Calibri"/>
                <w:sz w:val="24"/>
                <w:szCs w:val="24"/>
              </w:rPr>
              <w:t>1.3</w:t>
            </w:r>
          </w:p>
        </w:tc>
        <w:tc>
          <w:tcPr>
            <w:tcW w:w="1145" w:type="dxa"/>
            <w:vMerge w:val="restart"/>
            <w:tcBorders>
              <w:top w:val="single" w:sz="4" w:space="0" w:color="auto"/>
            </w:tcBorders>
          </w:tcPr>
          <w:p w14:paraId="4993A3EE" w14:textId="77777777" w:rsidR="008A6C23" w:rsidRPr="008A6C23" w:rsidRDefault="008A6C23" w:rsidP="008A6C23">
            <w:pPr>
              <w:rPr>
                <w:rFonts w:ascii="Calibri" w:hAnsi="Calibri" w:cs="Calibri"/>
                <w:sz w:val="24"/>
                <w:szCs w:val="24"/>
              </w:rPr>
            </w:pPr>
            <w:r w:rsidRPr="008A6C23">
              <w:rPr>
                <w:rFonts w:ascii="Calibri" w:hAnsi="Calibri" w:cs="Calibri"/>
                <w:sz w:val="24"/>
                <w:szCs w:val="24"/>
                <w:lang w:val="en-US"/>
              </w:rPr>
              <w:t>3.9248</w:t>
            </w:r>
          </w:p>
        </w:tc>
        <w:tc>
          <w:tcPr>
            <w:tcW w:w="1285" w:type="dxa"/>
            <w:vMerge w:val="restart"/>
            <w:tcBorders>
              <w:top w:val="single" w:sz="4" w:space="0" w:color="auto"/>
            </w:tcBorders>
          </w:tcPr>
          <w:p w14:paraId="4004C6EA" w14:textId="77777777" w:rsidR="008A6C23" w:rsidRPr="008A6C23" w:rsidRDefault="008A6C23" w:rsidP="008A6C23">
            <w:pPr>
              <w:rPr>
                <w:rFonts w:ascii="Calibri" w:hAnsi="Calibri" w:cs="Calibri"/>
                <w:sz w:val="24"/>
                <w:szCs w:val="24"/>
                <w:lang w:val="en-US"/>
              </w:rPr>
            </w:pPr>
            <w:r w:rsidRPr="008A6C23">
              <w:rPr>
                <w:rFonts w:ascii="Calibri" w:hAnsi="Calibri" w:cs="Calibri"/>
                <w:sz w:val="24"/>
                <w:szCs w:val="24"/>
                <w:lang w:val="en-US"/>
              </w:rPr>
              <w:t>0.5657</w:t>
            </w:r>
          </w:p>
        </w:tc>
      </w:tr>
      <w:tr w:rsidR="008A6C23" w:rsidRPr="008A6C23" w14:paraId="7E1E00CD" w14:textId="77777777" w:rsidTr="000B0233">
        <w:tc>
          <w:tcPr>
            <w:tcW w:w="2835" w:type="dxa"/>
          </w:tcPr>
          <w:p w14:paraId="1BE89263" w14:textId="77777777" w:rsidR="008A6C23" w:rsidRPr="008A6C23" w:rsidRDefault="008A6C23" w:rsidP="008A6C23">
            <w:pPr>
              <w:spacing w:before="40"/>
              <w:rPr>
                <w:rFonts w:ascii="Calibri" w:hAnsi="Calibri" w:cs="Calibri"/>
                <w:sz w:val="24"/>
                <w:szCs w:val="24"/>
              </w:rPr>
            </w:pPr>
            <w:r w:rsidRPr="008A6C23">
              <w:rPr>
                <w:rFonts w:ascii="Calibri" w:eastAsia="SimSun" w:hAnsi="Calibri" w:cs="Calibri"/>
                <w:sz w:val="24"/>
                <w:szCs w:val="24"/>
                <w:lang w:val="en-US"/>
              </w:rPr>
              <w:t>Moderate</w:t>
            </w:r>
            <w:r w:rsidRPr="008A6C23">
              <w:rPr>
                <w:rFonts w:ascii="Calibri" w:eastAsia="SimSun" w:hAnsi="Calibri" w:cs="Calibri"/>
                <w:sz w:val="24"/>
                <w:szCs w:val="24"/>
              </w:rPr>
              <w:t xml:space="preserve"> (2.34 – 3.67) </w:t>
            </w:r>
          </w:p>
        </w:tc>
        <w:tc>
          <w:tcPr>
            <w:tcW w:w="1323" w:type="dxa"/>
          </w:tcPr>
          <w:p w14:paraId="44449B88" w14:textId="77777777" w:rsidR="008A6C23" w:rsidRPr="008A6C23" w:rsidRDefault="008A6C23" w:rsidP="008A6C23">
            <w:pPr>
              <w:rPr>
                <w:rFonts w:ascii="Calibri" w:hAnsi="Calibri" w:cs="Calibri"/>
                <w:sz w:val="24"/>
                <w:szCs w:val="24"/>
              </w:rPr>
            </w:pPr>
            <w:r w:rsidRPr="008A6C23">
              <w:rPr>
                <w:rFonts w:ascii="Calibri" w:hAnsi="Calibri" w:cs="Calibri"/>
                <w:sz w:val="24"/>
                <w:szCs w:val="24"/>
              </w:rPr>
              <w:t>40</w:t>
            </w:r>
          </w:p>
        </w:tc>
        <w:tc>
          <w:tcPr>
            <w:tcW w:w="1931" w:type="dxa"/>
          </w:tcPr>
          <w:p w14:paraId="170F99C2" w14:textId="77777777" w:rsidR="008A6C23" w:rsidRPr="008A6C23" w:rsidRDefault="008A6C23" w:rsidP="008A6C23">
            <w:pPr>
              <w:rPr>
                <w:rFonts w:ascii="Calibri" w:hAnsi="Calibri" w:cs="Calibri"/>
                <w:sz w:val="24"/>
                <w:szCs w:val="24"/>
              </w:rPr>
            </w:pPr>
            <w:r w:rsidRPr="008A6C23">
              <w:rPr>
                <w:rFonts w:ascii="Calibri" w:hAnsi="Calibri" w:cs="Calibri"/>
                <w:sz w:val="24"/>
                <w:szCs w:val="24"/>
              </w:rPr>
              <w:t>26.7</w:t>
            </w:r>
          </w:p>
        </w:tc>
        <w:tc>
          <w:tcPr>
            <w:tcW w:w="1145" w:type="dxa"/>
            <w:vMerge/>
          </w:tcPr>
          <w:p w14:paraId="4C8A69CA" w14:textId="77777777" w:rsidR="008A6C23" w:rsidRPr="008A6C23" w:rsidRDefault="008A6C23" w:rsidP="008A6C23">
            <w:pPr>
              <w:rPr>
                <w:rFonts w:ascii="Calibri" w:hAnsi="Calibri" w:cs="Calibri"/>
                <w:sz w:val="24"/>
                <w:szCs w:val="24"/>
              </w:rPr>
            </w:pPr>
          </w:p>
        </w:tc>
        <w:tc>
          <w:tcPr>
            <w:tcW w:w="1285" w:type="dxa"/>
            <w:vMerge/>
          </w:tcPr>
          <w:p w14:paraId="75093AB4" w14:textId="77777777" w:rsidR="008A6C23" w:rsidRPr="008A6C23" w:rsidRDefault="008A6C23" w:rsidP="008A6C23">
            <w:pPr>
              <w:rPr>
                <w:rFonts w:ascii="Calibri" w:hAnsi="Calibri" w:cs="Calibri"/>
                <w:sz w:val="24"/>
                <w:szCs w:val="24"/>
              </w:rPr>
            </w:pPr>
          </w:p>
        </w:tc>
      </w:tr>
      <w:tr w:rsidR="008A6C23" w:rsidRPr="008A6C23" w14:paraId="1F80AE20" w14:textId="77777777" w:rsidTr="000B0233">
        <w:tc>
          <w:tcPr>
            <w:tcW w:w="2835" w:type="dxa"/>
          </w:tcPr>
          <w:p w14:paraId="6011AA96" w14:textId="77777777" w:rsidR="008A6C23" w:rsidRPr="008A6C23" w:rsidRDefault="008A6C23" w:rsidP="008A6C23">
            <w:pPr>
              <w:spacing w:before="40"/>
              <w:rPr>
                <w:rFonts w:ascii="Calibri" w:hAnsi="Calibri" w:cs="Calibri"/>
                <w:sz w:val="24"/>
                <w:szCs w:val="24"/>
              </w:rPr>
            </w:pPr>
            <w:r w:rsidRPr="008A6C23">
              <w:rPr>
                <w:rFonts w:ascii="Calibri" w:eastAsia="SimSun" w:hAnsi="Calibri" w:cs="Calibri"/>
                <w:sz w:val="24"/>
                <w:szCs w:val="24"/>
                <w:lang w:val="en-US"/>
              </w:rPr>
              <w:t>High</w:t>
            </w:r>
            <w:r w:rsidRPr="008A6C23">
              <w:rPr>
                <w:rFonts w:ascii="Calibri" w:eastAsia="SimSun" w:hAnsi="Calibri" w:cs="Calibri"/>
                <w:sz w:val="24"/>
                <w:szCs w:val="24"/>
              </w:rPr>
              <w:t xml:space="preserve"> (3.68 – 5.00)</w:t>
            </w:r>
          </w:p>
        </w:tc>
        <w:tc>
          <w:tcPr>
            <w:tcW w:w="1323" w:type="dxa"/>
          </w:tcPr>
          <w:p w14:paraId="20CA2EE9" w14:textId="77777777" w:rsidR="008A6C23" w:rsidRPr="008A6C23" w:rsidRDefault="008A6C23" w:rsidP="008A6C23">
            <w:pPr>
              <w:rPr>
                <w:rFonts w:ascii="Calibri" w:hAnsi="Calibri" w:cs="Calibri"/>
                <w:sz w:val="24"/>
                <w:szCs w:val="24"/>
              </w:rPr>
            </w:pPr>
            <w:r w:rsidRPr="008A6C23">
              <w:rPr>
                <w:rFonts w:ascii="Calibri" w:hAnsi="Calibri" w:cs="Calibri"/>
                <w:sz w:val="24"/>
                <w:szCs w:val="24"/>
              </w:rPr>
              <w:t>108</w:t>
            </w:r>
          </w:p>
        </w:tc>
        <w:tc>
          <w:tcPr>
            <w:tcW w:w="1931" w:type="dxa"/>
          </w:tcPr>
          <w:p w14:paraId="07766223" w14:textId="77777777" w:rsidR="008A6C23" w:rsidRPr="008A6C23" w:rsidRDefault="008A6C23" w:rsidP="008A6C23">
            <w:pPr>
              <w:rPr>
                <w:rFonts w:ascii="Calibri" w:hAnsi="Calibri" w:cs="Calibri"/>
                <w:sz w:val="24"/>
                <w:szCs w:val="24"/>
              </w:rPr>
            </w:pPr>
            <w:r w:rsidRPr="008A6C23">
              <w:rPr>
                <w:rFonts w:ascii="Calibri" w:hAnsi="Calibri" w:cs="Calibri"/>
                <w:sz w:val="24"/>
                <w:szCs w:val="24"/>
              </w:rPr>
              <w:t>72</w:t>
            </w:r>
          </w:p>
        </w:tc>
        <w:tc>
          <w:tcPr>
            <w:tcW w:w="1145" w:type="dxa"/>
            <w:vMerge/>
          </w:tcPr>
          <w:p w14:paraId="639F82BF" w14:textId="77777777" w:rsidR="008A6C23" w:rsidRPr="008A6C23" w:rsidRDefault="008A6C23" w:rsidP="008A6C23">
            <w:pPr>
              <w:rPr>
                <w:rFonts w:ascii="Calibri" w:hAnsi="Calibri" w:cs="Calibri"/>
                <w:sz w:val="24"/>
                <w:szCs w:val="24"/>
              </w:rPr>
            </w:pPr>
          </w:p>
        </w:tc>
        <w:tc>
          <w:tcPr>
            <w:tcW w:w="1285" w:type="dxa"/>
            <w:vMerge/>
          </w:tcPr>
          <w:p w14:paraId="7967D5C4" w14:textId="77777777" w:rsidR="008A6C23" w:rsidRPr="008A6C23" w:rsidRDefault="008A6C23" w:rsidP="008A6C23">
            <w:pPr>
              <w:rPr>
                <w:rFonts w:ascii="Calibri" w:hAnsi="Calibri" w:cs="Calibri"/>
                <w:sz w:val="24"/>
                <w:szCs w:val="24"/>
              </w:rPr>
            </w:pPr>
          </w:p>
        </w:tc>
      </w:tr>
      <w:tr w:rsidR="008A6C23" w:rsidRPr="008A6C23" w14:paraId="2A616F9F" w14:textId="77777777" w:rsidTr="000B0233">
        <w:tc>
          <w:tcPr>
            <w:tcW w:w="2835" w:type="dxa"/>
          </w:tcPr>
          <w:p w14:paraId="26A4C716" w14:textId="77777777" w:rsidR="008A6C23" w:rsidRPr="008A6C23" w:rsidRDefault="008A6C23" w:rsidP="008A6C23">
            <w:pPr>
              <w:rPr>
                <w:rFonts w:ascii="Calibri" w:hAnsi="Calibri" w:cs="Calibri"/>
                <w:sz w:val="24"/>
                <w:szCs w:val="24"/>
                <w:lang w:val="en-US"/>
              </w:rPr>
            </w:pPr>
            <w:r w:rsidRPr="008A6C23">
              <w:rPr>
                <w:rFonts w:ascii="Calibri" w:hAnsi="Calibri" w:cs="Calibri"/>
                <w:sz w:val="24"/>
                <w:szCs w:val="24"/>
                <w:lang w:val="en-US"/>
              </w:rPr>
              <w:t>Total</w:t>
            </w:r>
          </w:p>
        </w:tc>
        <w:tc>
          <w:tcPr>
            <w:tcW w:w="1323" w:type="dxa"/>
          </w:tcPr>
          <w:p w14:paraId="1A765915" w14:textId="77777777" w:rsidR="008A6C23" w:rsidRPr="008A6C23" w:rsidRDefault="008A6C23" w:rsidP="008A6C23">
            <w:pPr>
              <w:rPr>
                <w:rFonts w:ascii="Calibri" w:hAnsi="Calibri" w:cs="Calibri"/>
                <w:sz w:val="24"/>
                <w:szCs w:val="24"/>
              </w:rPr>
            </w:pPr>
            <w:r w:rsidRPr="008A6C23">
              <w:rPr>
                <w:rFonts w:ascii="Calibri" w:hAnsi="Calibri" w:cs="Calibri"/>
                <w:sz w:val="24"/>
                <w:szCs w:val="24"/>
              </w:rPr>
              <w:t>150</w:t>
            </w:r>
          </w:p>
        </w:tc>
        <w:tc>
          <w:tcPr>
            <w:tcW w:w="1931" w:type="dxa"/>
          </w:tcPr>
          <w:p w14:paraId="4944360C" w14:textId="77777777" w:rsidR="008A6C23" w:rsidRPr="008A6C23" w:rsidRDefault="008A6C23" w:rsidP="008A6C23">
            <w:pPr>
              <w:rPr>
                <w:rFonts w:ascii="Calibri" w:hAnsi="Calibri" w:cs="Calibri"/>
                <w:sz w:val="24"/>
                <w:szCs w:val="24"/>
              </w:rPr>
            </w:pPr>
            <w:r w:rsidRPr="008A6C23">
              <w:rPr>
                <w:rFonts w:ascii="Calibri" w:hAnsi="Calibri" w:cs="Calibri"/>
                <w:sz w:val="24"/>
                <w:szCs w:val="24"/>
              </w:rPr>
              <w:t>100.0</w:t>
            </w:r>
          </w:p>
        </w:tc>
        <w:tc>
          <w:tcPr>
            <w:tcW w:w="1145" w:type="dxa"/>
            <w:vMerge/>
          </w:tcPr>
          <w:p w14:paraId="58DA45C5" w14:textId="77777777" w:rsidR="008A6C23" w:rsidRPr="008A6C23" w:rsidRDefault="008A6C23" w:rsidP="008A6C23">
            <w:pPr>
              <w:rPr>
                <w:rFonts w:ascii="Calibri" w:hAnsi="Calibri" w:cs="Calibri"/>
                <w:sz w:val="24"/>
                <w:szCs w:val="24"/>
              </w:rPr>
            </w:pPr>
          </w:p>
        </w:tc>
        <w:tc>
          <w:tcPr>
            <w:tcW w:w="1285" w:type="dxa"/>
            <w:vMerge/>
          </w:tcPr>
          <w:p w14:paraId="48B3877C" w14:textId="77777777" w:rsidR="008A6C23" w:rsidRPr="008A6C23" w:rsidRDefault="008A6C23" w:rsidP="008A6C23">
            <w:pPr>
              <w:rPr>
                <w:rFonts w:ascii="Calibri" w:hAnsi="Calibri" w:cs="Calibri"/>
                <w:sz w:val="24"/>
                <w:szCs w:val="24"/>
              </w:rPr>
            </w:pPr>
          </w:p>
        </w:tc>
      </w:tr>
    </w:tbl>
    <w:p w14:paraId="7703FCDA" w14:textId="77777777" w:rsidR="008A6C23" w:rsidRPr="008A6C23" w:rsidRDefault="008A6C23" w:rsidP="008A6C23">
      <w:pPr>
        <w:spacing w:after="0" w:line="240" w:lineRule="auto"/>
        <w:jc w:val="both"/>
        <w:rPr>
          <w:rFonts w:ascii="Calibri" w:hAnsi="Calibri" w:cs="Calibri"/>
          <w:color w:val="FF0000"/>
          <w:sz w:val="24"/>
          <w:szCs w:val="24"/>
        </w:rPr>
      </w:pPr>
    </w:p>
    <w:p w14:paraId="6F082C15" w14:textId="77777777" w:rsidR="008A6C23" w:rsidRPr="008A6C23" w:rsidRDefault="008A6C23" w:rsidP="008A6C23">
      <w:pPr>
        <w:spacing w:after="0" w:line="240" w:lineRule="auto"/>
        <w:jc w:val="both"/>
        <w:rPr>
          <w:rFonts w:ascii="Calibri" w:eastAsia="Times New Roman" w:hAnsi="Calibri" w:cs="Calibri"/>
          <w:b/>
          <w:bCs/>
          <w:sz w:val="24"/>
          <w:szCs w:val="24"/>
        </w:rPr>
      </w:pPr>
      <w:r w:rsidRPr="008A6C23">
        <w:rPr>
          <w:rFonts w:ascii="Calibri" w:hAnsi="Calibri" w:cs="Calibri"/>
          <w:b/>
          <w:bCs/>
          <w:sz w:val="24"/>
          <w:szCs w:val="24"/>
        </w:rPr>
        <w:t xml:space="preserve">Correlation analysis between the attitude to communicate in Arabic and the </w:t>
      </w:r>
      <w:proofErr w:type="spellStart"/>
      <w:r w:rsidRPr="008A6C23">
        <w:rPr>
          <w:rFonts w:ascii="Calibri" w:hAnsi="Calibri" w:cs="Calibri"/>
          <w:b/>
          <w:bCs/>
          <w:sz w:val="24"/>
          <w:szCs w:val="24"/>
          <w:lang w:val="en-US"/>
        </w:rPr>
        <w:t>readi</w:t>
      </w:r>
      <w:proofErr w:type="spellEnd"/>
      <w:r w:rsidRPr="008A6C23">
        <w:rPr>
          <w:rFonts w:ascii="Calibri" w:hAnsi="Calibri" w:cs="Calibri"/>
          <w:b/>
          <w:bCs/>
          <w:sz w:val="24"/>
          <w:szCs w:val="24"/>
        </w:rPr>
        <w:t>ness to communicate in Arabic</w:t>
      </w:r>
      <w:r w:rsidRPr="008A6C23">
        <w:rPr>
          <w:rFonts w:ascii="Calibri" w:eastAsia="Times New Roman" w:hAnsi="Calibri" w:cs="Calibri"/>
          <w:b/>
          <w:bCs/>
          <w:sz w:val="24"/>
          <w:szCs w:val="24"/>
        </w:rPr>
        <w:t xml:space="preserve"> </w:t>
      </w:r>
    </w:p>
    <w:p w14:paraId="27900942" w14:textId="77777777" w:rsidR="008A6C23" w:rsidRPr="008A6C23" w:rsidRDefault="008A6C23" w:rsidP="008A6C23">
      <w:pPr>
        <w:spacing w:after="0" w:line="240" w:lineRule="auto"/>
        <w:jc w:val="both"/>
        <w:rPr>
          <w:rFonts w:ascii="Calibri" w:eastAsia="SimSun" w:hAnsi="Calibri" w:cs="Calibri"/>
          <w:sz w:val="24"/>
          <w:szCs w:val="24"/>
        </w:rPr>
      </w:pPr>
      <w:r w:rsidRPr="008A6C23">
        <w:rPr>
          <w:rFonts w:ascii="Calibri" w:eastAsia="SimSun" w:hAnsi="Calibri" w:cs="Calibri"/>
          <w:sz w:val="24"/>
          <w:szCs w:val="24"/>
          <w:lang w:eastAsia="en-MY"/>
        </w:rPr>
        <w:t xml:space="preserve">Table 3 shows the results of the correlation analysis. There is a significant relationship between the attitude to communicate in Arabic and the </w:t>
      </w:r>
      <w:proofErr w:type="spellStart"/>
      <w:r w:rsidRPr="008A6C23">
        <w:rPr>
          <w:rFonts w:ascii="Calibri" w:eastAsia="SimSun" w:hAnsi="Calibri" w:cs="Calibri"/>
          <w:sz w:val="24"/>
          <w:szCs w:val="24"/>
          <w:lang w:val="en-US" w:eastAsia="en-MY"/>
        </w:rPr>
        <w:t>readi</w:t>
      </w:r>
      <w:proofErr w:type="spellEnd"/>
      <w:r w:rsidRPr="008A6C23">
        <w:rPr>
          <w:rFonts w:ascii="Calibri" w:eastAsia="SimSun" w:hAnsi="Calibri" w:cs="Calibri"/>
          <w:sz w:val="24"/>
          <w:szCs w:val="24"/>
          <w:lang w:eastAsia="en-MY"/>
        </w:rPr>
        <w:t>ness to communicate in Arabic (r = 0.787, p &lt; 0.01). Based on the strength of the Davis relationship</w:t>
      </w:r>
      <w:r w:rsidRPr="008A6C23">
        <w:rPr>
          <w:rFonts w:ascii="Calibri" w:eastAsia="SimSun" w:hAnsi="Calibri" w:cs="Calibri"/>
          <w:sz w:val="24"/>
          <w:szCs w:val="24"/>
          <w:lang w:val="en-US" w:eastAsia="en-MY"/>
        </w:rPr>
        <w:t xml:space="preserve"> </w:t>
      </w:r>
      <w:r w:rsidRPr="008A6C23">
        <w:rPr>
          <w:rFonts w:ascii="Calibri" w:eastAsia="SimSun" w:hAnsi="Calibri" w:cs="Calibri"/>
          <w:sz w:val="24"/>
          <w:szCs w:val="24"/>
          <w:lang w:eastAsia="en-MY"/>
        </w:rPr>
        <w:t>(1971</w:t>
      </w:r>
      <w:proofErr w:type="gramStart"/>
      <w:r w:rsidRPr="008A6C23">
        <w:rPr>
          <w:rFonts w:ascii="Calibri" w:eastAsia="SimSun" w:hAnsi="Calibri" w:cs="Calibri"/>
          <w:sz w:val="24"/>
          <w:szCs w:val="24"/>
          <w:lang w:eastAsia="en-MY"/>
        </w:rPr>
        <w:t>) ,</w:t>
      </w:r>
      <w:proofErr w:type="gramEnd"/>
      <w:r w:rsidRPr="008A6C23">
        <w:rPr>
          <w:rFonts w:ascii="Calibri" w:eastAsia="SimSun" w:hAnsi="Calibri" w:cs="Calibri"/>
          <w:sz w:val="24"/>
          <w:szCs w:val="24"/>
          <w:lang w:eastAsia="en-MY"/>
        </w:rPr>
        <w:t xml:space="preserve"> the value of r shows that the relationship between the attitude to communicate in Arabic and the </w:t>
      </w:r>
      <w:proofErr w:type="spellStart"/>
      <w:r w:rsidRPr="008A6C23">
        <w:rPr>
          <w:rFonts w:ascii="Calibri" w:eastAsia="SimSun" w:hAnsi="Calibri" w:cs="Calibri"/>
          <w:sz w:val="24"/>
          <w:szCs w:val="24"/>
          <w:lang w:val="en-US" w:eastAsia="en-MY"/>
        </w:rPr>
        <w:t>readi</w:t>
      </w:r>
      <w:proofErr w:type="spellEnd"/>
      <w:r w:rsidRPr="008A6C23">
        <w:rPr>
          <w:rFonts w:ascii="Calibri" w:eastAsia="SimSun" w:hAnsi="Calibri" w:cs="Calibri"/>
          <w:sz w:val="24"/>
          <w:szCs w:val="24"/>
          <w:lang w:eastAsia="en-MY"/>
        </w:rPr>
        <w:t>ness to communicate in Arabic is a strong positive relationship.</w:t>
      </w:r>
      <w:r w:rsidRPr="008A6C23">
        <w:rPr>
          <w:rFonts w:ascii="Calibri" w:eastAsia="SimSun" w:hAnsi="Calibri" w:cs="Calibri"/>
          <w:sz w:val="24"/>
          <w:szCs w:val="24"/>
        </w:rPr>
        <w:t xml:space="preserve"> This suggests that the more students are enthusiastic, feel good and do not give up on learning Arabic, the higher their level of readiness to communicate </w:t>
      </w:r>
      <w:r w:rsidRPr="008A6C23">
        <w:rPr>
          <w:rFonts w:ascii="Calibri" w:eastAsia="SimSun" w:hAnsi="Calibri" w:cs="Calibri"/>
          <w:sz w:val="24"/>
          <w:szCs w:val="24"/>
          <w:lang w:val="en-US"/>
        </w:rPr>
        <w:t xml:space="preserve">in </w:t>
      </w:r>
      <w:r w:rsidRPr="008A6C23">
        <w:rPr>
          <w:rFonts w:ascii="Calibri" w:eastAsia="SimSun" w:hAnsi="Calibri" w:cs="Calibri"/>
          <w:sz w:val="24"/>
          <w:szCs w:val="24"/>
        </w:rPr>
        <w:t xml:space="preserve">Arabic. Students who have a positive attitude towards learning Arabic are able to improve their mastery of Arabic communication and gain a </w:t>
      </w:r>
      <w:proofErr w:type="spellStart"/>
      <w:r w:rsidRPr="008A6C23">
        <w:rPr>
          <w:rFonts w:ascii="Calibri" w:eastAsia="SimSun" w:hAnsi="Calibri" w:cs="Calibri"/>
          <w:sz w:val="24"/>
          <w:szCs w:val="24"/>
          <w:lang w:val="en-US"/>
        </w:rPr>
        <w:t>readi</w:t>
      </w:r>
      <w:proofErr w:type="spellEnd"/>
      <w:r w:rsidRPr="008A6C23">
        <w:rPr>
          <w:rFonts w:ascii="Calibri" w:eastAsia="SimSun" w:hAnsi="Calibri" w:cs="Calibri"/>
          <w:sz w:val="24"/>
          <w:szCs w:val="24"/>
        </w:rPr>
        <w:t xml:space="preserve">ness to communicate </w:t>
      </w:r>
      <w:r w:rsidRPr="008A6C23">
        <w:rPr>
          <w:rFonts w:ascii="Calibri" w:eastAsia="SimSun" w:hAnsi="Calibri" w:cs="Calibri"/>
          <w:sz w:val="24"/>
          <w:szCs w:val="24"/>
          <w:lang w:val="en-US"/>
        </w:rPr>
        <w:t xml:space="preserve">in </w:t>
      </w:r>
      <w:r w:rsidRPr="008A6C23">
        <w:rPr>
          <w:rFonts w:ascii="Calibri" w:eastAsia="SimSun" w:hAnsi="Calibri" w:cs="Calibri"/>
          <w:sz w:val="24"/>
          <w:szCs w:val="24"/>
        </w:rPr>
        <w:t>Arabic.</w:t>
      </w:r>
    </w:p>
    <w:p w14:paraId="5BBFE48B" w14:textId="77777777" w:rsidR="008A6C23" w:rsidRPr="008A6C23" w:rsidRDefault="008A6C23" w:rsidP="008A6C23">
      <w:pPr>
        <w:spacing w:after="0" w:line="240" w:lineRule="auto"/>
        <w:jc w:val="both"/>
        <w:rPr>
          <w:rFonts w:ascii="Calibri" w:eastAsia="SimSun" w:hAnsi="Calibri" w:cs="Calibri"/>
          <w:sz w:val="24"/>
          <w:szCs w:val="24"/>
          <w:lang w:val="en-US"/>
        </w:rPr>
      </w:pPr>
    </w:p>
    <w:p w14:paraId="6BAF91D8" w14:textId="77777777" w:rsidR="008A6C23" w:rsidRPr="008A6C23" w:rsidRDefault="008A6C23" w:rsidP="008A6C23">
      <w:pPr>
        <w:spacing w:after="0" w:line="240" w:lineRule="auto"/>
        <w:jc w:val="both"/>
        <w:rPr>
          <w:rFonts w:ascii="Calibri" w:eastAsia="SimSun" w:hAnsi="Calibri" w:cs="Calibri"/>
          <w:bCs/>
          <w:sz w:val="24"/>
          <w:szCs w:val="24"/>
          <w:lang w:val="en-US" w:eastAsia="en-MY"/>
        </w:rPr>
      </w:pPr>
      <w:r w:rsidRPr="008A6C23">
        <w:rPr>
          <w:rFonts w:ascii="Calibri" w:eastAsia="SimSun" w:hAnsi="Calibri" w:cs="Calibri"/>
          <w:bCs/>
          <w:sz w:val="24"/>
          <w:szCs w:val="24"/>
          <w:lang w:eastAsia="en-MY"/>
        </w:rPr>
        <w:t>Table 3: Correlation Analysis of Variables and Student Readiness</w:t>
      </w:r>
    </w:p>
    <w:tbl>
      <w:tblPr>
        <w:tblW w:w="0" w:type="auto"/>
        <w:tblLayout w:type="fixed"/>
        <w:tblLook w:val="04A0" w:firstRow="1" w:lastRow="0" w:firstColumn="1" w:lastColumn="0" w:noHBand="0" w:noVBand="1"/>
      </w:tblPr>
      <w:tblGrid>
        <w:gridCol w:w="3348"/>
        <w:gridCol w:w="2631"/>
        <w:gridCol w:w="2409"/>
      </w:tblGrid>
      <w:tr w:rsidR="008A6C23" w:rsidRPr="008A6C23" w14:paraId="7822E02E" w14:textId="77777777" w:rsidTr="000B0233">
        <w:tc>
          <w:tcPr>
            <w:tcW w:w="3348" w:type="dxa"/>
            <w:tcBorders>
              <w:top w:val="single" w:sz="4" w:space="0" w:color="auto"/>
              <w:bottom w:val="single" w:sz="4" w:space="0" w:color="auto"/>
            </w:tcBorders>
          </w:tcPr>
          <w:p w14:paraId="497AF425" w14:textId="77777777" w:rsidR="008A6C23" w:rsidRPr="008A6C23" w:rsidRDefault="008A6C23" w:rsidP="008A6C23">
            <w:pPr>
              <w:spacing w:after="0" w:line="240" w:lineRule="auto"/>
              <w:jc w:val="both"/>
              <w:rPr>
                <w:rFonts w:ascii="Calibri" w:eastAsia="SimSun" w:hAnsi="Calibri" w:cs="Calibri"/>
                <w:b/>
                <w:bCs/>
                <w:sz w:val="24"/>
                <w:szCs w:val="24"/>
                <w:lang w:val="en-US" w:eastAsia="ar-SA"/>
              </w:rPr>
            </w:pPr>
            <w:r w:rsidRPr="008A6C23">
              <w:rPr>
                <w:rFonts w:ascii="Calibri" w:eastAsia="SimSun" w:hAnsi="Calibri" w:cs="Calibri"/>
                <w:b/>
                <w:bCs/>
                <w:sz w:val="24"/>
                <w:szCs w:val="24"/>
                <w:lang w:val="en-US" w:eastAsia="en-MY"/>
              </w:rPr>
              <w:t>Variable</w:t>
            </w:r>
          </w:p>
        </w:tc>
        <w:tc>
          <w:tcPr>
            <w:tcW w:w="2631" w:type="dxa"/>
            <w:tcBorders>
              <w:top w:val="single" w:sz="4" w:space="0" w:color="auto"/>
              <w:bottom w:val="single" w:sz="4" w:space="0" w:color="auto"/>
            </w:tcBorders>
          </w:tcPr>
          <w:p w14:paraId="0CF4FFD8" w14:textId="77777777" w:rsidR="008A6C23" w:rsidRPr="008A6C23" w:rsidRDefault="008A6C23" w:rsidP="008A6C23">
            <w:pPr>
              <w:spacing w:after="0" w:line="240" w:lineRule="auto"/>
              <w:jc w:val="both"/>
              <w:rPr>
                <w:rFonts w:ascii="Calibri" w:eastAsia="SimSun" w:hAnsi="Calibri" w:cs="Calibri"/>
                <w:b/>
                <w:bCs/>
                <w:i/>
                <w:iCs/>
                <w:sz w:val="24"/>
                <w:szCs w:val="24"/>
                <w:lang w:eastAsia="ar-SA"/>
              </w:rPr>
            </w:pPr>
            <w:r w:rsidRPr="008A6C23">
              <w:rPr>
                <w:rFonts w:ascii="Calibri" w:eastAsia="SimSun" w:hAnsi="Calibri" w:cs="Calibri"/>
                <w:b/>
                <w:bCs/>
                <w:i/>
                <w:iCs/>
                <w:sz w:val="24"/>
                <w:szCs w:val="24"/>
                <w:lang w:eastAsia="en-MY"/>
              </w:rPr>
              <w:t>r</w:t>
            </w:r>
          </w:p>
        </w:tc>
        <w:tc>
          <w:tcPr>
            <w:tcW w:w="2409" w:type="dxa"/>
            <w:tcBorders>
              <w:top w:val="single" w:sz="4" w:space="0" w:color="auto"/>
              <w:bottom w:val="single" w:sz="4" w:space="0" w:color="auto"/>
            </w:tcBorders>
          </w:tcPr>
          <w:p w14:paraId="2E07B120" w14:textId="77777777" w:rsidR="008A6C23" w:rsidRPr="008A6C23" w:rsidRDefault="008A6C23" w:rsidP="008A6C23">
            <w:pPr>
              <w:spacing w:after="0" w:line="240" w:lineRule="auto"/>
              <w:jc w:val="both"/>
              <w:rPr>
                <w:rFonts w:ascii="Calibri" w:eastAsia="SimSun" w:hAnsi="Calibri" w:cs="Calibri"/>
                <w:b/>
                <w:bCs/>
                <w:i/>
                <w:iCs/>
                <w:sz w:val="24"/>
                <w:szCs w:val="24"/>
                <w:lang w:eastAsia="ar-SA"/>
              </w:rPr>
            </w:pPr>
            <w:r w:rsidRPr="008A6C23">
              <w:rPr>
                <w:rFonts w:ascii="Calibri" w:eastAsia="SimSun" w:hAnsi="Calibri" w:cs="Calibri"/>
                <w:b/>
                <w:bCs/>
                <w:i/>
                <w:iCs/>
                <w:sz w:val="24"/>
                <w:szCs w:val="24"/>
                <w:lang w:eastAsia="en-MY"/>
              </w:rPr>
              <w:t>p</w:t>
            </w:r>
          </w:p>
        </w:tc>
      </w:tr>
      <w:tr w:rsidR="008A6C23" w:rsidRPr="008A6C23" w14:paraId="020C9079" w14:textId="77777777" w:rsidTr="000B0233">
        <w:tc>
          <w:tcPr>
            <w:tcW w:w="3348" w:type="dxa"/>
            <w:tcBorders>
              <w:top w:val="single" w:sz="4" w:space="0" w:color="auto"/>
              <w:bottom w:val="single" w:sz="4" w:space="0" w:color="auto"/>
            </w:tcBorders>
          </w:tcPr>
          <w:p w14:paraId="6CFF3075" w14:textId="77777777" w:rsidR="008A6C23" w:rsidRPr="008A6C23" w:rsidRDefault="008A6C23" w:rsidP="008A6C23">
            <w:pPr>
              <w:spacing w:before="40" w:after="0" w:line="240" w:lineRule="auto"/>
              <w:jc w:val="both"/>
              <w:rPr>
                <w:rFonts w:ascii="Calibri" w:eastAsia="SimSun" w:hAnsi="Calibri" w:cs="Calibri"/>
                <w:sz w:val="24"/>
                <w:szCs w:val="24"/>
                <w:lang w:val="en-US" w:eastAsia="ar-SA"/>
              </w:rPr>
            </w:pPr>
            <w:bookmarkStart w:id="0" w:name="_Hlk275853557"/>
            <w:r w:rsidRPr="008A6C23">
              <w:rPr>
                <w:rFonts w:ascii="Calibri" w:eastAsia="SimSun" w:hAnsi="Calibri" w:cs="Calibri"/>
                <w:sz w:val="24"/>
                <w:szCs w:val="24"/>
                <w:lang w:val="en-US" w:eastAsia="ar-SA"/>
              </w:rPr>
              <w:t>Attitude</w:t>
            </w:r>
          </w:p>
        </w:tc>
        <w:tc>
          <w:tcPr>
            <w:tcW w:w="2631" w:type="dxa"/>
            <w:tcBorders>
              <w:top w:val="single" w:sz="4" w:space="0" w:color="auto"/>
              <w:bottom w:val="single" w:sz="4" w:space="0" w:color="auto"/>
            </w:tcBorders>
          </w:tcPr>
          <w:p w14:paraId="14F2DA23" w14:textId="77777777" w:rsidR="008A6C23" w:rsidRPr="008A6C23" w:rsidRDefault="008A6C23" w:rsidP="008A6C23">
            <w:pPr>
              <w:spacing w:after="0" w:line="240" w:lineRule="auto"/>
              <w:jc w:val="both"/>
              <w:rPr>
                <w:rFonts w:ascii="Calibri" w:eastAsia="SimSun" w:hAnsi="Calibri" w:cs="Calibri"/>
                <w:sz w:val="24"/>
                <w:szCs w:val="24"/>
                <w:lang w:val="en-US" w:eastAsia="ar-SA"/>
              </w:rPr>
            </w:pPr>
            <w:r w:rsidRPr="008A6C23">
              <w:rPr>
                <w:rFonts w:ascii="Calibri" w:eastAsia="SimSun" w:hAnsi="Calibri" w:cs="Calibri"/>
                <w:sz w:val="24"/>
                <w:szCs w:val="24"/>
                <w:lang w:val="en-US"/>
              </w:rPr>
              <w:t>0.787**</w:t>
            </w:r>
          </w:p>
        </w:tc>
        <w:tc>
          <w:tcPr>
            <w:tcW w:w="2409" w:type="dxa"/>
            <w:tcBorders>
              <w:top w:val="single" w:sz="4" w:space="0" w:color="auto"/>
              <w:bottom w:val="single" w:sz="4" w:space="0" w:color="auto"/>
            </w:tcBorders>
          </w:tcPr>
          <w:p w14:paraId="43A73E44" w14:textId="77777777" w:rsidR="008A6C23" w:rsidRPr="008A6C23" w:rsidRDefault="008A6C23" w:rsidP="008A6C23">
            <w:pPr>
              <w:spacing w:after="0" w:line="240" w:lineRule="auto"/>
              <w:jc w:val="both"/>
              <w:rPr>
                <w:rFonts w:ascii="Calibri" w:eastAsia="SimSun" w:hAnsi="Calibri" w:cs="Calibri"/>
                <w:sz w:val="24"/>
                <w:szCs w:val="24"/>
                <w:lang w:eastAsia="ar-SA"/>
              </w:rPr>
            </w:pPr>
            <w:r w:rsidRPr="008A6C23">
              <w:rPr>
                <w:rFonts w:ascii="Calibri" w:eastAsia="SimSun" w:hAnsi="Calibri" w:cs="Calibri"/>
                <w:sz w:val="24"/>
                <w:szCs w:val="24"/>
                <w:lang w:val="fi-FI" w:eastAsia="en-MY"/>
              </w:rPr>
              <w:t>.000</w:t>
            </w:r>
          </w:p>
        </w:tc>
      </w:tr>
      <w:bookmarkEnd w:id="0"/>
    </w:tbl>
    <w:p w14:paraId="370F164C" w14:textId="3E72EA26" w:rsidR="008A6C23" w:rsidRPr="008A6C23" w:rsidRDefault="008A6C23" w:rsidP="008C0665">
      <w:pPr>
        <w:tabs>
          <w:tab w:val="left" w:pos="536"/>
        </w:tabs>
        <w:spacing w:after="0" w:line="240" w:lineRule="auto"/>
        <w:jc w:val="both"/>
        <w:rPr>
          <w:rFonts w:ascii="Calibri" w:hAnsi="Calibri" w:cs="Calibri"/>
          <w:color w:val="000000"/>
          <w:sz w:val="24"/>
          <w:szCs w:val="24"/>
        </w:rPr>
      </w:pPr>
    </w:p>
    <w:p w14:paraId="58D73F1F" w14:textId="77777777" w:rsidR="008A6C23" w:rsidRPr="008A6C23" w:rsidRDefault="008A6C23" w:rsidP="008A6C23">
      <w:pPr>
        <w:spacing w:after="0" w:line="240" w:lineRule="auto"/>
        <w:jc w:val="both"/>
        <w:rPr>
          <w:rFonts w:ascii="Calibri" w:eastAsia="SimSun" w:hAnsi="Calibri" w:cs="Calibri"/>
          <w:sz w:val="24"/>
          <w:szCs w:val="24"/>
          <w:lang w:val="en-US"/>
        </w:rPr>
      </w:pPr>
      <w:r w:rsidRPr="008A6C23">
        <w:rPr>
          <w:rFonts w:ascii="Calibri" w:hAnsi="Calibri" w:cs="Calibri"/>
          <w:sz w:val="24"/>
          <w:szCs w:val="24"/>
        </w:rPr>
        <w:t>Thus, the findings of the studies presented at tables 1,2 and 3 can be formulated as</w:t>
      </w:r>
      <w:r w:rsidRPr="008A6C23">
        <w:rPr>
          <w:rFonts w:ascii="Calibri" w:hAnsi="Calibri" w:cs="Calibri"/>
          <w:sz w:val="24"/>
          <w:szCs w:val="24"/>
          <w:lang w:val="en-US"/>
        </w:rPr>
        <w:t xml:space="preserve"> </w:t>
      </w:r>
      <w:r w:rsidRPr="008A6C23">
        <w:rPr>
          <w:rFonts w:ascii="Calibri" w:hAnsi="Calibri" w:cs="Calibri"/>
          <w:sz w:val="24"/>
          <w:szCs w:val="24"/>
        </w:rPr>
        <w:t>the</w:t>
      </w:r>
      <w:r w:rsidRPr="008A6C23">
        <w:rPr>
          <w:rFonts w:ascii="Calibri" w:hAnsi="Calibri" w:cs="Calibri"/>
          <w:sz w:val="24"/>
          <w:szCs w:val="24"/>
          <w:lang w:val="en-US"/>
        </w:rPr>
        <w:t xml:space="preserve"> </w:t>
      </w:r>
      <w:r w:rsidRPr="008A6C23">
        <w:rPr>
          <w:rFonts w:ascii="Calibri" w:hAnsi="Calibri" w:cs="Calibri"/>
          <w:sz w:val="24"/>
          <w:szCs w:val="24"/>
        </w:rPr>
        <w:t>students' readiness t</w:t>
      </w:r>
      <w:r w:rsidRPr="008A6C23">
        <w:rPr>
          <w:rFonts w:ascii="Calibri" w:hAnsi="Calibri" w:cs="Calibri"/>
          <w:sz w:val="24"/>
          <w:szCs w:val="24"/>
          <w:lang w:val="en-US"/>
        </w:rPr>
        <w:t xml:space="preserve">o </w:t>
      </w:r>
      <w:r w:rsidRPr="008A6C23">
        <w:rPr>
          <w:rFonts w:ascii="Calibri" w:hAnsi="Calibri" w:cs="Calibri"/>
          <w:sz w:val="24"/>
          <w:szCs w:val="24"/>
        </w:rPr>
        <w:t>communicate</w:t>
      </w:r>
      <w:r w:rsidRPr="008A6C23">
        <w:rPr>
          <w:rFonts w:ascii="Calibri" w:hAnsi="Calibri" w:cs="Calibri"/>
          <w:sz w:val="24"/>
          <w:szCs w:val="24"/>
          <w:lang w:val="en-US"/>
        </w:rPr>
        <w:t xml:space="preserve"> in </w:t>
      </w:r>
      <w:r w:rsidRPr="008A6C23">
        <w:rPr>
          <w:rFonts w:ascii="Calibri" w:hAnsi="Calibri" w:cs="Calibri"/>
          <w:sz w:val="24"/>
          <w:szCs w:val="24"/>
        </w:rPr>
        <w:t>Arabic can be further enhanced and strengthened if they are in a </w:t>
      </w:r>
      <w:proofErr w:type="gramStart"/>
      <w:r w:rsidRPr="008A6C23">
        <w:rPr>
          <w:rFonts w:ascii="Calibri" w:hAnsi="Calibri" w:cs="Calibri"/>
          <w:sz w:val="24"/>
          <w:szCs w:val="24"/>
        </w:rPr>
        <w:t>positive  attitude</w:t>
      </w:r>
      <w:proofErr w:type="gramEnd"/>
      <w:r w:rsidRPr="008A6C23">
        <w:rPr>
          <w:rFonts w:ascii="Calibri" w:hAnsi="Calibri" w:cs="Calibri"/>
          <w:sz w:val="24"/>
          <w:szCs w:val="24"/>
        </w:rPr>
        <w:t> toward communicating </w:t>
      </w:r>
      <w:r w:rsidRPr="008A6C23">
        <w:rPr>
          <w:rFonts w:ascii="Calibri" w:hAnsi="Calibri" w:cs="Calibri"/>
          <w:sz w:val="24"/>
          <w:szCs w:val="24"/>
          <w:lang w:val="en-US"/>
        </w:rPr>
        <w:t xml:space="preserve">in </w:t>
      </w:r>
      <w:r w:rsidRPr="008A6C23">
        <w:rPr>
          <w:rFonts w:ascii="Calibri" w:hAnsi="Calibri" w:cs="Calibri"/>
          <w:sz w:val="24"/>
          <w:szCs w:val="24"/>
        </w:rPr>
        <w:t xml:space="preserve">Arabic. </w:t>
      </w:r>
    </w:p>
    <w:p w14:paraId="028BABF5" w14:textId="77777777" w:rsidR="008C0665" w:rsidRDefault="008C0665" w:rsidP="008A6C23">
      <w:pPr>
        <w:spacing w:after="0" w:line="240" w:lineRule="auto"/>
        <w:jc w:val="both"/>
        <w:rPr>
          <w:rFonts w:ascii="Calibri" w:eastAsia="SimSun" w:hAnsi="Calibri" w:cs="Calibri"/>
          <w:sz w:val="24"/>
          <w:szCs w:val="24"/>
          <w:lang w:val="en-US"/>
        </w:rPr>
      </w:pPr>
    </w:p>
    <w:p w14:paraId="0597353E" w14:textId="77777777" w:rsidR="008C0665" w:rsidRPr="008A6C23" w:rsidRDefault="008C0665" w:rsidP="008A6C23">
      <w:pPr>
        <w:spacing w:after="0" w:line="240" w:lineRule="auto"/>
        <w:jc w:val="both"/>
        <w:rPr>
          <w:rFonts w:ascii="Calibri" w:eastAsia="SimSun" w:hAnsi="Calibri" w:cs="Calibri"/>
          <w:sz w:val="24"/>
          <w:szCs w:val="24"/>
          <w:lang w:val="en-US"/>
        </w:rPr>
      </w:pPr>
    </w:p>
    <w:p w14:paraId="366FDE1B" w14:textId="77777777" w:rsidR="008A6C23" w:rsidRPr="008A6C23" w:rsidRDefault="008A6C23" w:rsidP="008A6C23">
      <w:pPr>
        <w:spacing w:after="0" w:line="240" w:lineRule="auto"/>
        <w:jc w:val="both"/>
        <w:rPr>
          <w:rFonts w:ascii="Calibri" w:hAnsi="Calibri" w:cs="Calibri"/>
          <w:b/>
          <w:bCs/>
          <w:sz w:val="24"/>
          <w:szCs w:val="24"/>
        </w:rPr>
      </w:pPr>
      <w:r w:rsidRPr="008A6C23">
        <w:rPr>
          <w:rFonts w:ascii="Calibri" w:hAnsi="Calibri" w:cs="Calibri"/>
          <w:b/>
          <w:bCs/>
          <w:sz w:val="24"/>
          <w:szCs w:val="24"/>
        </w:rPr>
        <w:lastRenderedPageBreak/>
        <w:t>Conclusion</w:t>
      </w:r>
    </w:p>
    <w:p w14:paraId="7CA89336" w14:textId="77777777" w:rsidR="008A6C23" w:rsidRPr="008A6C23" w:rsidRDefault="008A6C23" w:rsidP="008A6C23">
      <w:pPr>
        <w:spacing w:after="0" w:line="240" w:lineRule="auto"/>
        <w:jc w:val="both"/>
        <w:rPr>
          <w:rFonts w:ascii="Calibri" w:eastAsia="Times New Roman" w:hAnsi="Calibri" w:cs="Calibri"/>
          <w:bCs/>
          <w:kern w:val="0"/>
          <w:sz w:val="24"/>
          <w:szCs w:val="24"/>
          <w:lang w:val="en-US" w:eastAsia="tr-TR"/>
          <w14:ligatures w14:val="none"/>
        </w:rPr>
      </w:pPr>
      <w:r w:rsidRPr="008A6C23">
        <w:rPr>
          <w:rFonts w:ascii="Calibri" w:eastAsia="Times New Roman" w:hAnsi="Calibri" w:cs="Calibri"/>
          <w:bCs/>
          <w:kern w:val="0"/>
          <w:sz w:val="24"/>
          <w:szCs w:val="24"/>
          <w:lang w:val="en-US" w:eastAsia="tr-TR"/>
          <w14:ligatures w14:val="none"/>
        </w:rPr>
        <w:t>A person's attitude and readiness to communicate can have either a negative or positive effect. A person who has a high and positive attitude toward communicating in Arabic will demonstrate readiness to communicate. In addition, good knowledge and broader vocabulary also contribute to the readiness to communicate in Arabic. This is because, with this knowledge, students can communicate with both Arabs and non-Arabs by using the Arabic language. In fact, they are more confident in using Arabic as a medium of communication. This proves that the attitude of students toward communicating in Arabic is influenced by learning and mastering the Arabic language. Thus, it is able to produce students who communicate well in Arabic.</w:t>
      </w:r>
    </w:p>
    <w:p w14:paraId="19997D62" w14:textId="77777777" w:rsidR="008A6C23" w:rsidRPr="008A6C23" w:rsidRDefault="008A6C23" w:rsidP="008A6C23">
      <w:pPr>
        <w:spacing w:after="0" w:line="240" w:lineRule="auto"/>
        <w:jc w:val="both"/>
        <w:rPr>
          <w:rFonts w:ascii="Calibri" w:hAnsi="Calibri" w:cs="Calibri"/>
          <w:sz w:val="24"/>
          <w:szCs w:val="24"/>
        </w:rPr>
      </w:pPr>
    </w:p>
    <w:p w14:paraId="22C49D80" w14:textId="77777777" w:rsidR="00171EBB" w:rsidRPr="00561F9A" w:rsidRDefault="00171EBB" w:rsidP="00171EBB">
      <w:pPr>
        <w:spacing w:after="0" w:line="240" w:lineRule="auto"/>
        <w:rPr>
          <w:rFonts w:ascii="Calibri" w:hAnsi="Calibri" w:cs="Calibri"/>
          <w:b/>
          <w:bCs/>
          <w:sz w:val="24"/>
          <w:szCs w:val="24"/>
        </w:rPr>
      </w:pPr>
      <w:r w:rsidRPr="00561F9A">
        <w:rPr>
          <w:rFonts w:ascii="Calibri" w:hAnsi="Calibri" w:cs="Calibri"/>
          <w:b/>
          <w:bCs/>
          <w:sz w:val="24"/>
          <w:szCs w:val="24"/>
        </w:rPr>
        <w:t>References</w:t>
      </w:r>
    </w:p>
    <w:p w14:paraId="3B1AD905" w14:textId="77777777" w:rsidR="008C0665" w:rsidRPr="008A6C23" w:rsidRDefault="008C0665" w:rsidP="008C0665">
      <w:pPr>
        <w:spacing w:after="0" w:line="240" w:lineRule="auto"/>
        <w:ind w:left="567" w:hanging="567"/>
        <w:jc w:val="both"/>
        <w:rPr>
          <w:rFonts w:ascii="Calibri" w:hAnsi="Calibri" w:cs="Calibri"/>
          <w:sz w:val="24"/>
          <w:szCs w:val="24"/>
        </w:rPr>
      </w:pPr>
      <w:r w:rsidRPr="00CE0C58">
        <w:rPr>
          <w:rFonts w:ascii="Calibri" w:hAnsi="Calibri" w:cs="Calibri"/>
          <w:sz w:val="24"/>
          <w:szCs w:val="24"/>
        </w:rPr>
        <w:t xml:space="preserve">Abd </w:t>
      </w:r>
      <w:proofErr w:type="gramStart"/>
      <w:r w:rsidRPr="00CE0C58">
        <w:rPr>
          <w:rFonts w:ascii="Calibri" w:hAnsi="Calibri" w:cs="Calibri"/>
          <w:sz w:val="24"/>
          <w:szCs w:val="24"/>
        </w:rPr>
        <w:t>Rahman ,</w:t>
      </w:r>
      <w:proofErr w:type="gramEnd"/>
      <w:r w:rsidRPr="00CE0C58">
        <w:rPr>
          <w:rFonts w:ascii="Calibri" w:hAnsi="Calibri" w:cs="Calibri"/>
          <w:sz w:val="24"/>
          <w:szCs w:val="24"/>
        </w:rPr>
        <w:t xml:space="preserve"> L. </w:t>
      </w:r>
      <w:r w:rsidRPr="008A6C23">
        <w:rPr>
          <w:rFonts w:ascii="Calibri" w:hAnsi="Calibri" w:cs="Calibri"/>
          <w:sz w:val="24"/>
          <w:szCs w:val="24"/>
        </w:rPr>
        <w:t xml:space="preserve">&amp; </w:t>
      </w:r>
      <w:r w:rsidRPr="00CE0C58">
        <w:rPr>
          <w:rFonts w:ascii="Calibri" w:hAnsi="Calibri" w:cs="Calibri"/>
          <w:sz w:val="24"/>
          <w:szCs w:val="24"/>
        </w:rPr>
        <w:t>an Ahmad, W. A.</w:t>
      </w:r>
      <w:r w:rsidRPr="008A6C23">
        <w:rPr>
          <w:rFonts w:ascii="Calibri" w:hAnsi="Calibri" w:cs="Calibri"/>
          <w:sz w:val="24"/>
          <w:szCs w:val="24"/>
        </w:rPr>
        <w:t xml:space="preserve"> (2006). </w:t>
      </w:r>
      <w:proofErr w:type="spellStart"/>
      <w:r w:rsidRPr="008A6C23">
        <w:rPr>
          <w:rFonts w:ascii="Calibri" w:hAnsi="Calibri" w:cs="Calibri"/>
          <w:sz w:val="24"/>
          <w:szCs w:val="24"/>
        </w:rPr>
        <w:t>Halangan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Berkomunikasi</w:t>
      </w:r>
      <w:proofErr w:type="spellEnd"/>
      <w:r w:rsidRPr="008A6C23">
        <w:rPr>
          <w:rFonts w:ascii="Calibri" w:hAnsi="Calibri" w:cs="Calibri"/>
          <w:sz w:val="24"/>
          <w:szCs w:val="24"/>
        </w:rPr>
        <w:t xml:space="preserve"> Dalam Bahasa Arab Di </w:t>
      </w:r>
      <w:proofErr w:type="spellStart"/>
      <w:r w:rsidRPr="008A6C23">
        <w:rPr>
          <w:rFonts w:ascii="Calibri" w:hAnsi="Calibri" w:cs="Calibri"/>
          <w:sz w:val="24"/>
          <w:szCs w:val="24"/>
        </w:rPr>
        <w:t>Kalangan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Pelajar</w:t>
      </w:r>
      <w:proofErr w:type="spellEnd"/>
      <w:r w:rsidRPr="008A6C23">
        <w:rPr>
          <w:rFonts w:ascii="Calibri" w:hAnsi="Calibri" w:cs="Calibri"/>
          <w:sz w:val="24"/>
          <w:szCs w:val="24"/>
        </w:rPr>
        <w:t xml:space="preserve"> Kolej </w:t>
      </w:r>
      <w:proofErr w:type="spellStart"/>
      <w:r w:rsidRPr="008A6C23">
        <w:rPr>
          <w:rFonts w:ascii="Calibri" w:hAnsi="Calibri" w:cs="Calibri"/>
          <w:sz w:val="24"/>
          <w:szCs w:val="24"/>
        </w:rPr>
        <w:t>Universiti</w:t>
      </w:r>
      <w:proofErr w:type="spellEnd"/>
      <w:r w:rsidRPr="008A6C23">
        <w:rPr>
          <w:rFonts w:ascii="Calibri" w:hAnsi="Calibri" w:cs="Calibri"/>
          <w:sz w:val="24"/>
          <w:szCs w:val="24"/>
        </w:rPr>
        <w:t xml:space="preserve"> Islam Malaysia. Nilai: </w:t>
      </w:r>
      <w:proofErr w:type="spellStart"/>
      <w:r w:rsidRPr="008A6C23">
        <w:rPr>
          <w:rFonts w:ascii="Calibri" w:hAnsi="Calibri" w:cs="Calibri"/>
          <w:sz w:val="24"/>
          <w:szCs w:val="24"/>
        </w:rPr>
        <w:t>Universiti</w:t>
      </w:r>
      <w:proofErr w:type="spellEnd"/>
      <w:r w:rsidRPr="008A6C23">
        <w:rPr>
          <w:rFonts w:ascii="Calibri" w:hAnsi="Calibri" w:cs="Calibri"/>
          <w:sz w:val="24"/>
          <w:szCs w:val="24"/>
        </w:rPr>
        <w:t xml:space="preserve"> Sains Islam Malaysia.</w:t>
      </w:r>
    </w:p>
    <w:p w14:paraId="52A4E091" w14:textId="77777777" w:rsidR="008C0665" w:rsidRPr="008A6C23" w:rsidRDefault="008C0665" w:rsidP="008C0665">
      <w:pPr>
        <w:spacing w:after="0" w:line="240" w:lineRule="auto"/>
        <w:ind w:left="567" w:hanging="567"/>
        <w:jc w:val="both"/>
        <w:rPr>
          <w:rFonts w:ascii="Calibri" w:hAnsi="Calibri" w:cs="Calibri"/>
          <w:sz w:val="24"/>
          <w:szCs w:val="24"/>
        </w:rPr>
      </w:pPr>
      <w:r w:rsidRPr="00CE0C58">
        <w:rPr>
          <w:rFonts w:ascii="Calibri" w:hAnsi="Calibri" w:cs="Calibri"/>
          <w:sz w:val="24"/>
          <w:szCs w:val="24"/>
        </w:rPr>
        <w:t xml:space="preserve">Abdul </w:t>
      </w:r>
      <w:proofErr w:type="spellStart"/>
      <w:r w:rsidRPr="00CE0C58">
        <w:rPr>
          <w:rFonts w:ascii="Calibri" w:hAnsi="Calibri" w:cs="Calibri"/>
          <w:sz w:val="24"/>
          <w:szCs w:val="24"/>
        </w:rPr>
        <w:t>halim</w:t>
      </w:r>
      <w:proofErr w:type="spellEnd"/>
      <w:r w:rsidRPr="00CE0C58">
        <w:rPr>
          <w:rFonts w:ascii="Calibri" w:hAnsi="Calibri" w:cs="Calibri"/>
          <w:sz w:val="24"/>
          <w:szCs w:val="24"/>
        </w:rPr>
        <w:t>, H.</w:t>
      </w:r>
      <w:r w:rsidRPr="008A6C23">
        <w:rPr>
          <w:rFonts w:ascii="Calibri" w:hAnsi="Calibri" w:cs="Calibri"/>
          <w:sz w:val="24"/>
          <w:szCs w:val="24"/>
        </w:rPr>
        <w:t xml:space="preserve">, </w:t>
      </w:r>
      <w:r w:rsidRPr="00CE0C58">
        <w:rPr>
          <w:rFonts w:ascii="Calibri" w:hAnsi="Calibri" w:cs="Calibri"/>
          <w:sz w:val="24"/>
          <w:szCs w:val="24"/>
        </w:rPr>
        <w:t xml:space="preserve">Abdul </w:t>
      </w:r>
      <w:proofErr w:type="gramStart"/>
      <w:r w:rsidRPr="00CE0C58">
        <w:rPr>
          <w:rFonts w:ascii="Calibri" w:hAnsi="Calibri" w:cs="Calibri"/>
          <w:sz w:val="24"/>
          <w:szCs w:val="24"/>
        </w:rPr>
        <w:t>Rahim ,</w:t>
      </w:r>
      <w:proofErr w:type="gramEnd"/>
      <w:r w:rsidRPr="00CE0C58">
        <w:rPr>
          <w:rFonts w:ascii="Calibri" w:hAnsi="Calibri" w:cs="Calibri"/>
          <w:sz w:val="24"/>
          <w:szCs w:val="24"/>
        </w:rPr>
        <w:t xml:space="preserve"> N. </w:t>
      </w:r>
      <w:r w:rsidRPr="008A6C23">
        <w:rPr>
          <w:rFonts w:ascii="Calibri" w:hAnsi="Calibri" w:cs="Calibri"/>
          <w:sz w:val="24"/>
          <w:szCs w:val="24"/>
        </w:rPr>
        <w:t>&amp; Mamat</w:t>
      </w:r>
      <w:r>
        <w:rPr>
          <w:rFonts w:ascii="Calibri" w:hAnsi="Calibri" w:cs="Calibri"/>
          <w:sz w:val="24"/>
          <w:szCs w:val="24"/>
        </w:rPr>
        <w:t>, R</w:t>
      </w:r>
      <w:r w:rsidRPr="008A6C23">
        <w:rPr>
          <w:rFonts w:ascii="Calibri" w:hAnsi="Calibri" w:cs="Calibri"/>
          <w:sz w:val="24"/>
          <w:szCs w:val="24"/>
        </w:rPr>
        <w:t xml:space="preserve">. (2013). </w:t>
      </w:r>
      <w:proofErr w:type="spellStart"/>
      <w:r w:rsidRPr="008A6C23">
        <w:rPr>
          <w:rFonts w:ascii="Calibri" w:hAnsi="Calibri" w:cs="Calibri"/>
          <w:sz w:val="24"/>
          <w:szCs w:val="24"/>
        </w:rPr>
        <w:t>Kesilapan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Pengurangan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dalam</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Pemerolehan</w:t>
      </w:r>
      <w:proofErr w:type="spellEnd"/>
      <w:r w:rsidRPr="008A6C23">
        <w:rPr>
          <w:rFonts w:ascii="Calibri" w:hAnsi="Calibri" w:cs="Calibri"/>
          <w:sz w:val="24"/>
          <w:szCs w:val="24"/>
        </w:rPr>
        <w:t xml:space="preserve"> Gender </w:t>
      </w:r>
      <w:proofErr w:type="spellStart"/>
      <w:r w:rsidRPr="008A6C23">
        <w:rPr>
          <w:rFonts w:ascii="Calibri" w:hAnsi="Calibri" w:cs="Calibri"/>
          <w:sz w:val="24"/>
          <w:szCs w:val="24"/>
        </w:rPr>
        <w:t>Gramatikal</w:t>
      </w:r>
      <w:proofErr w:type="spellEnd"/>
      <w:r w:rsidRPr="008A6C23">
        <w:rPr>
          <w:rFonts w:ascii="Calibri" w:hAnsi="Calibri" w:cs="Calibri"/>
          <w:sz w:val="24"/>
          <w:szCs w:val="24"/>
        </w:rPr>
        <w:t xml:space="preserve"> Bahasa </w:t>
      </w:r>
      <w:proofErr w:type="spellStart"/>
      <w:r w:rsidRPr="008A6C23">
        <w:rPr>
          <w:rFonts w:ascii="Calibri" w:hAnsi="Calibri" w:cs="Calibri"/>
          <w:sz w:val="24"/>
          <w:szCs w:val="24"/>
        </w:rPr>
        <w:t>Perancis</w:t>
      </w:r>
      <w:proofErr w:type="spellEnd"/>
      <w:r w:rsidRPr="008A6C23">
        <w:rPr>
          <w:rFonts w:ascii="Calibri" w:hAnsi="Calibri" w:cs="Calibri"/>
          <w:sz w:val="24"/>
          <w:szCs w:val="24"/>
        </w:rPr>
        <w:t>. Malaysian Journal of Learning and Instruction: Vol. 10, 157-178.</w:t>
      </w:r>
    </w:p>
    <w:p w14:paraId="3EC19D2C" w14:textId="77777777" w:rsidR="008C0665" w:rsidRPr="008A6C23" w:rsidRDefault="008C0665" w:rsidP="008C0665">
      <w:pPr>
        <w:spacing w:after="0" w:line="240" w:lineRule="auto"/>
        <w:ind w:left="567" w:hanging="567"/>
        <w:jc w:val="both"/>
        <w:rPr>
          <w:rFonts w:ascii="Calibri" w:hAnsi="Calibri" w:cs="Calibri"/>
          <w:sz w:val="24"/>
          <w:szCs w:val="24"/>
        </w:rPr>
      </w:pPr>
      <w:r w:rsidRPr="00CE0C58">
        <w:rPr>
          <w:rFonts w:ascii="Calibri" w:hAnsi="Calibri" w:cs="Calibri"/>
          <w:sz w:val="24"/>
          <w:szCs w:val="24"/>
        </w:rPr>
        <w:t xml:space="preserve">Ahmad </w:t>
      </w:r>
      <w:proofErr w:type="gramStart"/>
      <w:r w:rsidRPr="00CE0C58">
        <w:rPr>
          <w:rFonts w:ascii="Calibri" w:hAnsi="Calibri" w:cs="Calibri"/>
          <w:sz w:val="24"/>
          <w:szCs w:val="24"/>
        </w:rPr>
        <w:t>Yalani ,</w:t>
      </w:r>
      <w:proofErr w:type="gramEnd"/>
      <w:r w:rsidRPr="00CE0C58">
        <w:rPr>
          <w:rFonts w:ascii="Calibri" w:hAnsi="Calibri" w:cs="Calibri"/>
          <w:sz w:val="24"/>
          <w:szCs w:val="24"/>
        </w:rPr>
        <w:t xml:space="preserve"> N. N. </w:t>
      </w:r>
      <w:r w:rsidRPr="008A6C23">
        <w:rPr>
          <w:rFonts w:ascii="Calibri" w:hAnsi="Calibri" w:cs="Calibri"/>
          <w:sz w:val="24"/>
          <w:szCs w:val="24"/>
        </w:rPr>
        <w:t xml:space="preserve">&amp; </w:t>
      </w:r>
      <w:r w:rsidRPr="00CE0C58">
        <w:rPr>
          <w:rFonts w:ascii="Calibri" w:hAnsi="Calibri" w:cs="Calibri"/>
          <w:sz w:val="24"/>
          <w:szCs w:val="24"/>
        </w:rPr>
        <w:t>Abu Bakar, N. R.</w:t>
      </w:r>
      <w:r w:rsidRPr="008A6C23">
        <w:rPr>
          <w:rFonts w:ascii="Calibri" w:hAnsi="Calibri" w:cs="Calibri"/>
          <w:sz w:val="24"/>
          <w:szCs w:val="24"/>
        </w:rPr>
        <w:t xml:space="preserve">. (2017). </w:t>
      </w:r>
      <w:proofErr w:type="spellStart"/>
      <w:r w:rsidRPr="008A6C23">
        <w:rPr>
          <w:rFonts w:ascii="Calibri" w:hAnsi="Calibri" w:cs="Calibri"/>
          <w:sz w:val="24"/>
          <w:szCs w:val="24"/>
        </w:rPr>
        <w:t>Tahap</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Penguasaan</w:t>
      </w:r>
      <w:proofErr w:type="spellEnd"/>
      <w:r w:rsidRPr="008A6C23">
        <w:rPr>
          <w:rFonts w:ascii="Calibri" w:hAnsi="Calibri" w:cs="Calibri"/>
          <w:sz w:val="24"/>
          <w:szCs w:val="24"/>
        </w:rPr>
        <w:t xml:space="preserve"> Bahasa </w:t>
      </w:r>
      <w:proofErr w:type="spellStart"/>
      <w:r w:rsidRPr="008A6C23">
        <w:rPr>
          <w:rFonts w:ascii="Calibri" w:hAnsi="Calibri" w:cs="Calibri"/>
          <w:sz w:val="24"/>
          <w:szCs w:val="24"/>
        </w:rPr>
        <w:t>Inggeris</w:t>
      </w:r>
      <w:proofErr w:type="spellEnd"/>
      <w:r w:rsidRPr="008A6C23">
        <w:rPr>
          <w:rFonts w:ascii="Calibri" w:hAnsi="Calibri" w:cs="Calibri"/>
          <w:sz w:val="24"/>
          <w:szCs w:val="24"/>
        </w:rPr>
        <w:t xml:space="preserve"> dan Faktor-Faktor </w:t>
      </w:r>
      <w:proofErr w:type="spellStart"/>
      <w:r w:rsidRPr="008A6C23">
        <w:rPr>
          <w:rFonts w:ascii="Calibri" w:hAnsi="Calibri" w:cs="Calibri"/>
          <w:sz w:val="24"/>
          <w:szCs w:val="24"/>
        </w:rPr>
        <w:t>Dalaman</w:t>
      </w:r>
      <w:proofErr w:type="spellEnd"/>
      <w:r w:rsidRPr="008A6C23">
        <w:rPr>
          <w:rFonts w:ascii="Calibri" w:hAnsi="Calibri" w:cs="Calibri"/>
          <w:sz w:val="24"/>
          <w:szCs w:val="24"/>
        </w:rPr>
        <w:t xml:space="preserve"> dan </w:t>
      </w:r>
      <w:proofErr w:type="spellStart"/>
      <w:r w:rsidRPr="008A6C23">
        <w:rPr>
          <w:rFonts w:ascii="Calibri" w:hAnsi="Calibri" w:cs="Calibri"/>
          <w:sz w:val="24"/>
          <w:szCs w:val="24"/>
        </w:rPr>
        <w:t>Luaran</w:t>
      </w:r>
      <w:proofErr w:type="spellEnd"/>
      <w:r w:rsidRPr="008A6C23">
        <w:rPr>
          <w:rFonts w:ascii="Calibri" w:hAnsi="Calibri" w:cs="Calibri"/>
          <w:sz w:val="24"/>
          <w:szCs w:val="24"/>
        </w:rPr>
        <w:t xml:space="preserve"> yang </w:t>
      </w:r>
      <w:proofErr w:type="spellStart"/>
      <w:r w:rsidRPr="008A6C23">
        <w:rPr>
          <w:rFonts w:ascii="Calibri" w:hAnsi="Calibri" w:cs="Calibri"/>
          <w:sz w:val="24"/>
          <w:szCs w:val="24"/>
        </w:rPr>
        <w:t>Mempengaruhinya</w:t>
      </w:r>
      <w:proofErr w:type="spellEnd"/>
      <w:r w:rsidRPr="008A6C23">
        <w:rPr>
          <w:rFonts w:ascii="Calibri" w:hAnsi="Calibri" w:cs="Calibri"/>
          <w:sz w:val="24"/>
          <w:szCs w:val="24"/>
        </w:rPr>
        <w:t xml:space="preserve"> di </w:t>
      </w:r>
      <w:proofErr w:type="spellStart"/>
      <w:r w:rsidRPr="008A6C23">
        <w:rPr>
          <w:rFonts w:ascii="Calibri" w:hAnsi="Calibri" w:cs="Calibri"/>
          <w:sz w:val="24"/>
          <w:szCs w:val="24"/>
        </w:rPr>
        <w:t>Kalangan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Pelajar</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Sebuah</w:t>
      </w:r>
      <w:proofErr w:type="spellEnd"/>
      <w:r w:rsidRPr="008A6C23">
        <w:rPr>
          <w:rFonts w:ascii="Calibri" w:hAnsi="Calibri" w:cs="Calibri"/>
          <w:sz w:val="24"/>
          <w:szCs w:val="24"/>
        </w:rPr>
        <w:t xml:space="preserve"> IPTS di Selangor. </w:t>
      </w:r>
      <w:proofErr w:type="spellStart"/>
      <w:r w:rsidRPr="008A6C23">
        <w:rPr>
          <w:rFonts w:ascii="Calibri" w:hAnsi="Calibri" w:cs="Calibri"/>
          <w:sz w:val="24"/>
          <w:szCs w:val="24"/>
        </w:rPr>
        <w:t>Attarbawiy</w:t>
      </w:r>
      <w:proofErr w:type="spellEnd"/>
      <w:r w:rsidRPr="008A6C23">
        <w:rPr>
          <w:rFonts w:ascii="Calibri" w:hAnsi="Calibri" w:cs="Calibri"/>
          <w:sz w:val="24"/>
          <w:szCs w:val="24"/>
        </w:rPr>
        <w:t>: Malaysian Online Journal of Education Vol. 1, No. 1, 20-28.</w:t>
      </w:r>
    </w:p>
    <w:p w14:paraId="39D0AE57" w14:textId="77777777" w:rsidR="008C0665" w:rsidRPr="008A6C23" w:rsidRDefault="008C0665" w:rsidP="008C0665">
      <w:pPr>
        <w:spacing w:after="0" w:line="240" w:lineRule="auto"/>
        <w:ind w:left="567" w:hanging="567"/>
        <w:jc w:val="both"/>
        <w:rPr>
          <w:rFonts w:ascii="Calibri" w:hAnsi="Calibri" w:cs="Calibri"/>
          <w:sz w:val="24"/>
          <w:szCs w:val="24"/>
        </w:rPr>
      </w:pPr>
      <w:proofErr w:type="spellStart"/>
      <w:r w:rsidRPr="008A6C23">
        <w:rPr>
          <w:rFonts w:ascii="Calibri" w:hAnsi="Calibri" w:cs="Calibri"/>
          <w:sz w:val="24"/>
          <w:szCs w:val="24"/>
        </w:rPr>
        <w:t>Alibakhshi</w:t>
      </w:r>
      <w:proofErr w:type="spellEnd"/>
      <w:r w:rsidRPr="008A6C23">
        <w:rPr>
          <w:rFonts w:ascii="Calibri" w:hAnsi="Calibri" w:cs="Calibri"/>
          <w:sz w:val="24"/>
          <w:szCs w:val="24"/>
        </w:rPr>
        <w:t xml:space="preserve"> &amp; Padiz. (2011). The Effect of Teaching Strategic Competence on speaking Performance of EFL Learners. Journal of Language Teaching and Research 2(4), 941-947.</w:t>
      </w:r>
    </w:p>
    <w:p w14:paraId="6BFC00A5" w14:textId="77777777" w:rsidR="008C0665" w:rsidRPr="008A6C23" w:rsidRDefault="008C0665" w:rsidP="008C0665">
      <w:pPr>
        <w:spacing w:after="0" w:line="240" w:lineRule="auto"/>
        <w:ind w:left="567" w:hanging="567"/>
        <w:jc w:val="both"/>
        <w:rPr>
          <w:rFonts w:ascii="Calibri" w:hAnsi="Calibri" w:cs="Calibri"/>
          <w:sz w:val="24"/>
          <w:szCs w:val="24"/>
        </w:rPr>
      </w:pPr>
      <w:r w:rsidRPr="002543FA">
        <w:rPr>
          <w:rFonts w:ascii="Calibri" w:hAnsi="Calibri" w:cs="Calibri"/>
          <w:sz w:val="24"/>
          <w:szCs w:val="24"/>
        </w:rPr>
        <w:t xml:space="preserve">Awang Mat Dahan, H. B. </w:t>
      </w:r>
      <w:r w:rsidRPr="008A6C23">
        <w:rPr>
          <w:rFonts w:ascii="Calibri" w:hAnsi="Calibri" w:cs="Calibri"/>
          <w:sz w:val="24"/>
          <w:szCs w:val="24"/>
        </w:rPr>
        <w:t xml:space="preserve">&amp; </w:t>
      </w:r>
      <w:proofErr w:type="spellStart"/>
      <w:proofErr w:type="gramStart"/>
      <w:r w:rsidRPr="002543FA">
        <w:rPr>
          <w:rFonts w:ascii="Calibri" w:hAnsi="Calibri" w:cs="Calibri"/>
          <w:sz w:val="24"/>
          <w:szCs w:val="24"/>
        </w:rPr>
        <w:t>Zailaini</w:t>
      </w:r>
      <w:proofErr w:type="spellEnd"/>
      <w:r w:rsidRPr="002543FA">
        <w:rPr>
          <w:rFonts w:ascii="Calibri" w:hAnsi="Calibri" w:cs="Calibri"/>
          <w:sz w:val="24"/>
          <w:szCs w:val="24"/>
        </w:rPr>
        <w:t xml:space="preserve"> ,</w:t>
      </w:r>
      <w:proofErr w:type="gramEnd"/>
      <w:r w:rsidRPr="002543FA">
        <w:rPr>
          <w:rFonts w:ascii="Calibri" w:hAnsi="Calibri" w:cs="Calibri"/>
          <w:sz w:val="24"/>
          <w:szCs w:val="24"/>
        </w:rPr>
        <w:t xml:space="preserve"> M. A</w:t>
      </w:r>
      <w:r w:rsidRPr="008A6C23">
        <w:rPr>
          <w:rFonts w:ascii="Calibri" w:hAnsi="Calibri" w:cs="Calibri"/>
          <w:sz w:val="24"/>
          <w:szCs w:val="24"/>
        </w:rPr>
        <w:t xml:space="preserve">. (2004). </w:t>
      </w:r>
      <w:proofErr w:type="spellStart"/>
      <w:r w:rsidRPr="008A6C23">
        <w:rPr>
          <w:rFonts w:ascii="Calibri" w:hAnsi="Calibri" w:cs="Calibri"/>
          <w:sz w:val="24"/>
          <w:szCs w:val="24"/>
        </w:rPr>
        <w:t>Kurikulum</w:t>
      </w:r>
      <w:proofErr w:type="spellEnd"/>
      <w:r w:rsidRPr="008A6C23">
        <w:rPr>
          <w:rFonts w:ascii="Calibri" w:hAnsi="Calibri" w:cs="Calibri"/>
          <w:sz w:val="24"/>
          <w:szCs w:val="24"/>
        </w:rPr>
        <w:t xml:space="preserve"> Baru Bahasa Arab </w:t>
      </w:r>
      <w:proofErr w:type="spellStart"/>
      <w:r w:rsidRPr="008A6C23">
        <w:rPr>
          <w:rFonts w:ascii="Calibri" w:hAnsi="Calibri" w:cs="Calibri"/>
          <w:sz w:val="24"/>
          <w:szCs w:val="24"/>
        </w:rPr>
        <w:t>Komunikasi</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danBahasa</w:t>
      </w:r>
      <w:proofErr w:type="spellEnd"/>
      <w:r w:rsidRPr="008A6C23">
        <w:rPr>
          <w:rFonts w:ascii="Calibri" w:hAnsi="Calibri" w:cs="Calibri"/>
          <w:sz w:val="24"/>
          <w:szCs w:val="24"/>
        </w:rPr>
        <w:t xml:space="preserve"> Arab Tinggi </w:t>
      </w:r>
      <w:proofErr w:type="spellStart"/>
      <w:r w:rsidRPr="008A6C23">
        <w:rPr>
          <w:rFonts w:ascii="Calibri" w:hAnsi="Calibri" w:cs="Calibri"/>
          <w:sz w:val="24"/>
          <w:szCs w:val="24"/>
        </w:rPr>
        <w:t>Sekolah</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Menengah</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Masalah</w:t>
      </w:r>
      <w:proofErr w:type="spellEnd"/>
      <w:r w:rsidRPr="008A6C23">
        <w:rPr>
          <w:rFonts w:ascii="Calibri" w:hAnsi="Calibri" w:cs="Calibri"/>
          <w:sz w:val="24"/>
          <w:szCs w:val="24"/>
        </w:rPr>
        <w:t xml:space="preserve"> Pendidikan Jilid 27, 65-74.</w:t>
      </w:r>
    </w:p>
    <w:p w14:paraId="2A9578B1" w14:textId="77777777" w:rsidR="008C0665" w:rsidRPr="008A6C23" w:rsidRDefault="008C0665" w:rsidP="008C0665">
      <w:pPr>
        <w:spacing w:after="0" w:line="240" w:lineRule="auto"/>
        <w:ind w:left="567" w:hanging="567"/>
        <w:jc w:val="both"/>
        <w:rPr>
          <w:rFonts w:ascii="Calibri" w:hAnsi="Calibri" w:cs="Calibri"/>
          <w:sz w:val="24"/>
          <w:szCs w:val="24"/>
        </w:rPr>
      </w:pPr>
      <w:r w:rsidRPr="008A6C23">
        <w:rPr>
          <w:rFonts w:ascii="Calibri" w:hAnsi="Calibri" w:cs="Calibri"/>
          <w:sz w:val="24"/>
          <w:szCs w:val="24"/>
        </w:rPr>
        <w:t>Baharudin</w:t>
      </w:r>
      <w:r>
        <w:rPr>
          <w:rFonts w:ascii="Calibri" w:hAnsi="Calibri" w:cs="Calibri"/>
          <w:sz w:val="24"/>
          <w:szCs w:val="24"/>
        </w:rPr>
        <w:t>, H.</w:t>
      </w:r>
      <w:r w:rsidRPr="008A6C23">
        <w:rPr>
          <w:rFonts w:ascii="Calibri" w:hAnsi="Calibri" w:cs="Calibri"/>
          <w:sz w:val="24"/>
          <w:szCs w:val="24"/>
        </w:rPr>
        <w:t xml:space="preserve"> &amp; </w:t>
      </w:r>
      <w:r w:rsidRPr="002543FA">
        <w:rPr>
          <w:rFonts w:ascii="Calibri" w:hAnsi="Calibri" w:cs="Calibri"/>
          <w:sz w:val="24"/>
          <w:szCs w:val="24"/>
        </w:rPr>
        <w:t xml:space="preserve">Mohamad </w:t>
      </w:r>
      <w:proofErr w:type="spellStart"/>
      <w:r w:rsidRPr="002543FA">
        <w:rPr>
          <w:rFonts w:ascii="Calibri" w:hAnsi="Calibri" w:cs="Calibri"/>
          <w:sz w:val="24"/>
          <w:szCs w:val="24"/>
        </w:rPr>
        <w:t>Maskor</w:t>
      </w:r>
      <w:proofErr w:type="spellEnd"/>
      <w:r w:rsidRPr="002543FA">
        <w:rPr>
          <w:rFonts w:ascii="Calibri" w:hAnsi="Calibri" w:cs="Calibri"/>
          <w:sz w:val="24"/>
          <w:szCs w:val="24"/>
        </w:rPr>
        <w:t>, Z.</w:t>
      </w:r>
      <w:r w:rsidRPr="008A6C23">
        <w:rPr>
          <w:rFonts w:ascii="Calibri" w:hAnsi="Calibri" w:cs="Calibri"/>
          <w:sz w:val="24"/>
          <w:szCs w:val="24"/>
        </w:rPr>
        <w:t xml:space="preserve"> (2020). Empowering Student Engagement in L3 Through Text Chat Discussion. </w:t>
      </w:r>
      <w:proofErr w:type="spellStart"/>
      <w:r w:rsidRPr="008A6C23">
        <w:rPr>
          <w:rFonts w:ascii="Calibri" w:hAnsi="Calibri" w:cs="Calibri"/>
          <w:sz w:val="24"/>
          <w:szCs w:val="24"/>
        </w:rPr>
        <w:t>Palarch’s</w:t>
      </w:r>
      <w:proofErr w:type="spellEnd"/>
      <w:r w:rsidRPr="008A6C23">
        <w:rPr>
          <w:rFonts w:ascii="Calibri" w:hAnsi="Calibri" w:cs="Calibri"/>
          <w:sz w:val="24"/>
          <w:szCs w:val="24"/>
        </w:rPr>
        <w:t xml:space="preserve"> Journal </w:t>
      </w:r>
      <w:proofErr w:type="gramStart"/>
      <w:r w:rsidRPr="008A6C23">
        <w:rPr>
          <w:rFonts w:ascii="Calibri" w:hAnsi="Calibri" w:cs="Calibri"/>
          <w:sz w:val="24"/>
          <w:szCs w:val="24"/>
        </w:rPr>
        <w:t>Of</w:t>
      </w:r>
      <w:proofErr w:type="gramEnd"/>
      <w:r w:rsidRPr="008A6C23">
        <w:rPr>
          <w:rFonts w:ascii="Calibri" w:hAnsi="Calibri" w:cs="Calibri"/>
          <w:sz w:val="24"/>
          <w:szCs w:val="24"/>
        </w:rPr>
        <w:t xml:space="preserve"> </w:t>
      </w:r>
      <w:proofErr w:type="spellStart"/>
      <w:r w:rsidRPr="008A6C23">
        <w:rPr>
          <w:rFonts w:ascii="Calibri" w:hAnsi="Calibri" w:cs="Calibri"/>
          <w:sz w:val="24"/>
          <w:szCs w:val="24"/>
        </w:rPr>
        <w:t>Archaralogy</w:t>
      </w:r>
      <w:proofErr w:type="spellEnd"/>
      <w:r w:rsidRPr="008A6C23">
        <w:rPr>
          <w:rFonts w:ascii="Calibri" w:hAnsi="Calibri" w:cs="Calibri"/>
          <w:sz w:val="24"/>
          <w:szCs w:val="24"/>
        </w:rPr>
        <w:t xml:space="preserve"> Of Egypt/</w:t>
      </w:r>
      <w:proofErr w:type="spellStart"/>
      <w:r w:rsidRPr="008A6C23">
        <w:rPr>
          <w:rFonts w:ascii="Calibri" w:hAnsi="Calibri" w:cs="Calibri"/>
          <w:sz w:val="24"/>
          <w:szCs w:val="24"/>
        </w:rPr>
        <w:t>Egyptogy</w:t>
      </w:r>
      <w:proofErr w:type="spellEnd"/>
      <w:r w:rsidRPr="008A6C23">
        <w:rPr>
          <w:rFonts w:ascii="Calibri" w:hAnsi="Calibri" w:cs="Calibri"/>
          <w:sz w:val="24"/>
          <w:szCs w:val="24"/>
        </w:rPr>
        <w:t xml:space="preserve"> 17(3), 291-313.</w:t>
      </w:r>
    </w:p>
    <w:p w14:paraId="0D20A0B1" w14:textId="77777777" w:rsidR="008C0665" w:rsidRPr="008A6C23" w:rsidRDefault="008C0665" w:rsidP="008C0665">
      <w:pPr>
        <w:pStyle w:val="Default"/>
        <w:ind w:left="567" w:hanging="567"/>
        <w:jc w:val="both"/>
        <w:rPr>
          <w:rFonts w:ascii="Calibri" w:hAnsi="Calibri" w:cs="Calibri"/>
          <w:color w:val="auto"/>
        </w:rPr>
      </w:pPr>
      <w:r w:rsidRPr="008A6C23">
        <w:rPr>
          <w:rFonts w:ascii="Calibri" w:hAnsi="Calibri" w:cs="Calibri"/>
          <w:color w:val="auto"/>
        </w:rPr>
        <w:t>Bailey, K.M. (2005). Speaking. New York: McGraw-Hill.</w:t>
      </w:r>
    </w:p>
    <w:p w14:paraId="65D27402" w14:textId="77777777" w:rsidR="008C0665" w:rsidRPr="008A6C23" w:rsidRDefault="008C0665" w:rsidP="008C0665">
      <w:pPr>
        <w:spacing w:after="0" w:line="240" w:lineRule="auto"/>
        <w:ind w:left="567" w:hanging="567"/>
        <w:jc w:val="both"/>
        <w:rPr>
          <w:rFonts w:ascii="Calibri" w:hAnsi="Calibri" w:cs="Calibri"/>
          <w:sz w:val="24"/>
          <w:szCs w:val="24"/>
        </w:rPr>
      </w:pPr>
      <w:r w:rsidRPr="002543FA">
        <w:rPr>
          <w:rFonts w:ascii="Calibri" w:hAnsi="Calibri" w:cs="Calibri"/>
          <w:sz w:val="24"/>
          <w:szCs w:val="24"/>
        </w:rPr>
        <w:t>Che Mat, A.</w:t>
      </w:r>
      <w:r w:rsidRPr="008A6C23">
        <w:rPr>
          <w:rFonts w:ascii="Calibri" w:hAnsi="Calibri" w:cs="Calibri"/>
          <w:sz w:val="24"/>
          <w:szCs w:val="24"/>
        </w:rPr>
        <w:t xml:space="preserve"> (2013). </w:t>
      </w:r>
      <w:proofErr w:type="spellStart"/>
      <w:r w:rsidRPr="008A6C23">
        <w:rPr>
          <w:rFonts w:ascii="Calibri" w:hAnsi="Calibri" w:cs="Calibri"/>
          <w:sz w:val="24"/>
          <w:szCs w:val="24"/>
        </w:rPr>
        <w:t>Sikap</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Pelajar</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Terhadap</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Pembelajaran</w:t>
      </w:r>
      <w:proofErr w:type="spellEnd"/>
      <w:r w:rsidRPr="008A6C23">
        <w:rPr>
          <w:rFonts w:ascii="Calibri" w:hAnsi="Calibri" w:cs="Calibri"/>
          <w:sz w:val="24"/>
          <w:szCs w:val="24"/>
        </w:rPr>
        <w:t xml:space="preserve"> Bahasa Arab di IPTA. Academia Journal </w:t>
      </w:r>
      <w:proofErr w:type="spellStart"/>
      <w:r w:rsidRPr="008A6C23">
        <w:rPr>
          <w:rFonts w:ascii="Calibri" w:hAnsi="Calibri" w:cs="Calibri"/>
          <w:sz w:val="24"/>
          <w:szCs w:val="24"/>
        </w:rPr>
        <w:t>UiTMT</w:t>
      </w:r>
      <w:proofErr w:type="spellEnd"/>
      <w:r w:rsidRPr="008A6C23">
        <w:rPr>
          <w:rFonts w:ascii="Calibri" w:hAnsi="Calibri" w:cs="Calibri"/>
          <w:sz w:val="24"/>
          <w:szCs w:val="24"/>
        </w:rPr>
        <w:t xml:space="preserve"> Volume 2 Issue 2, 61-68.</w:t>
      </w:r>
    </w:p>
    <w:p w14:paraId="1176F5A4" w14:textId="77777777" w:rsidR="008C0665" w:rsidRPr="008A6C23" w:rsidRDefault="008C0665" w:rsidP="008C0665">
      <w:pPr>
        <w:spacing w:after="0" w:line="240" w:lineRule="auto"/>
        <w:ind w:left="567" w:hanging="567"/>
        <w:jc w:val="both"/>
        <w:rPr>
          <w:rFonts w:ascii="Calibri" w:hAnsi="Calibri" w:cs="Calibri"/>
          <w:sz w:val="24"/>
          <w:szCs w:val="24"/>
        </w:rPr>
      </w:pPr>
      <w:r w:rsidRPr="00CE0C58">
        <w:rPr>
          <w:rFonts w:ascii="Calibri" w:hAnsi="Calibri" w:cs="Calibri"/>
          <w:sz w:val="24"/>
          <w:szCs w:val="24"/>
        </w:rPr>
        <w:t xml:space="preserve">Daud, N. </w:t>
      </w:r>
      <w:r w:rsidRPr="008A6C23">
        <w:rPr>
          <w:rFonts w:ascii="Calibri" w:hAnsi="Calibri" w:cs="Calibri"/>
          <w:sz w:val="24"/>
          <w:szCs w:val="24"/>
        </w:rPr>
        <w:t xml:space="preserve">&amp; </w:t>
      </w:r>
      <w:r w:rsidRPr="00CE0C58">
        <w:rPr>
          <w:rFonts w:ascii="Calibri" w:hAnsi="Calibri" w:cs="Calibri"/>
          <w:sz w:val="24"/>
          <w:szCs w:val="24"/>
        </w:rPr>
        <w:t>Abdul Pisal, N</w:t>
      </w:r>
      <w:r w:rsidRPr="008A6C23">
        <w:rPr>
          <w:rFonts w:ascii="Calibri" w:hAnsi="Calibri" w:cs="Calibri"/>
          <w:sz w:val="24"/>
          <w:szCs w:val="24"/>
        </w:rPr>
        <w:t xml:space="preserve">. (2014). </w:t>
      </w:r>
      <w:proofErr w:type="spellStart"/>
      <w:r w:rsidRPr="008A6C23">
        <w:rPr>
          <w:rFonts w:ascii="Calibri" w:hAnsi="Calibri" w:cs="Calibri"/>
          <w:sz w:val="24"/>
          <w:szCs w:val="24"/>
        </w:rPr>
        <w:t>Permasalahan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Pertuturan</w:t>
      </w:r>
      <w:proofErr w:type="spellEnd"/>
      <w:r w:rsidRPr="008A6C23">
        <w:rPr>
          <w:rFonts w:ascii="Calibri" w:hAnsi="Calibri" w:cs="Calibri"/>
          <w:sz w:val="24"/>
          <w:szCs w:val="24"/>
        </w:rPr>
        <w:t xml:space="preserve"> Dalam Bahasa Arab </w:t>
      </w:r>
      <w:proofErr w:type="spellStart"/>
      <w:r w:rsidRPr="008A6C23">
        <w:rPr>
          <w:rFonts w:ascii="Calibri" w:hAnsi="Calibri" w:cs="Calibri"/>
          <w:sz w:val="24"/>
          <w:szCs w:val="24"/>
        </w:rPr>
        <w:t>Sebagai</w:t>
      </w:r>
      <w:proofErr w:type="spellEnd"/>
      <w:r w:rsidRPr="008A6C23">
        <w:rPr>
          <w:rFonts w:ascii="Calibri" w:hAnsi="Calibri" w:cs="Calibri"/>
          <w:sz w:val="24"/>
          <w:szCs w:val="24"/>
        </w:rPr>
        <w:t xml:space="preserve"> Bahasa </w:t>
      </w:r>
      <w:proofErr w:type="spellStart"/>
      <w:r w:rsidRPr="008A6C23">
        <w:rPr>
          <w:rFonts w:ascii="Calibri" w:hAnsi="Calibri" w:cs="Calibri"/>
          <w:sz w:val="24"/>
          <w:szCs w:val="24"/>
        </w:rPr>
        <w:t>Kedua</w:t>
      </w:r>
      <w:proofErr w:type="spellEnd"/>
      <w:r w:rsidRPr="008A6C23">
        <w:rPr>
          <w:rFonts w:ascii="Calibri" w:hAnsi="Calibri" w:cs="Calibri"/>
          <w:sz w:val="24"/>
          <w:szCs w:val="24"/>
        </w:rPr>
        <w:t>. GEMA Online® Journal of Language Studies Volume 14(1), 117-133.</w:t>
      </w:r>
    </w:p>
    <w:p w14:paraId="30BE595C" w14:textId="24B787CA" w:rsidR="008C0665" w:rsidRDefault="008C0665" w:rsidP="008C0665">
      <w:pPr>
        <w:spacing w:after="0" w:line="240" w:lineRule="auto"/>
        <w:ind w:left="567" w:hanging="567"/>
        <w:jc w:val="both"/>
        <w:rPr>
          <w:rFonts w:ascii="Calibri" w:hAnsi="Calibri" w:cs="Calibri"/>
          <w:sz w:val="24"/>
          <w:szCs w:val="24"/>
        </w:rPr>
      </w:pPr>
      <w:r w:rsidRPr="00CE0C58">
        <w:rPr>
          <w:rFonts w:ascii="Calibri" w:hAnsi="Calibri" w:cs="Calibri"/>
          <w:sz w:val="24"/>
          <w:szCs w:val="24"/>
        </w:rPr>
        <w:t>Fadzil, N. A.</w:t>
      </w:r>
      <w:r w:rsidRPr="008A6C23">
        <w:rPr>
          <w:rFonts w:ascii="Calibri" w:hAnsi="Calibri" w:cs="Calibri"/>
          <w:sz w:val="24"/>
          <w:szCs w:val="24"/>
        </w:rPr>
        <w:t xml:space="preserve">, </w:t>
      </w:r>
      <w:proofErr w:type="gramStart"/>
      <w:r w:rsidRPr="00CE0C58">
        <w:rPr>
          <w:rFonts w:ascii="Calibri" w:hAnsi="Calibri" w:cs="Calibri"/>
          <w:sz w:val="24"/>
          <w:szCs w:val="24"/>
        </w:rPr>
        <w:t>Jaafar ,</w:t>
      </w:r>
      <w:proofErr w:type="gramEnd"/>
      <w:r w:rsidRPr="00CE0C58">
        <w:rPr>
          <w:rFonts w:ascii="Calibri" w:hAnsi="Calibri" w:cs="Calibri"/>
          <w:sz w:val="24"/>
          <w:szCs w:val="24"/>
        </w:rPr>
        <w:t xml:space="preserve"> N. </w:t>
      </w:r>
      <w:r w:rsidRPr="008A6C23">
        <w:rPr>
          <w:rFonts w:ascii="Calibri" w:hAnsi="Calibri" w:cs="Calibri"/>
          <w:sz w:val="24"/>
          <w:szCs w:val="24"/>
        </w:rPr>
        <w:t xml:space="preserve">&amp; </w:t>
      </w:r>
      <w:r w:rsidRPr="00CE0C58">
        <w:rPr>
          <w:rFonts w:ascii="Calibri" w:hAnsi="Calibri" w:cs="Calibri"/>
          <w:sz w:val="24"/>
          <w:szCs w:val="24"/>
        </w:rPr>
        <w:t xml:space="preserve">Md </w:t>
      </w:r>
      <w:proofErr w:type="spellStart"/>
      <w:r w:rsidRPr="00CE0C58">
        <w:rPr>
          <w:rFonts w:ascii="Calibri" w:hAnsi="Calibri" w:cs="Calibri"/>
          <w:sz w:val="24"/>
          <w:szCs w:val="24"/>
        </w:rPr>
        <w:t>Rofiee</w:t>
      </w:r>
      <w:proofErr w:type="spellEnd"/>
      <w:r w:rsidRPr="00CE0C58">
        <w:rPr>
          <w:rFonts w:ascii="Calibri" w:hAnsi="Calibri" w:cs="Calibri"/>
          <w:sz w:val="24"/>
          <w:szCs w:val="24"/>
        </w:rPr>
        <w:t xml:space="preserve">, M. </w:t>
      </w:r>
      <w:r w:rsidRPr="008A6C23">
        <w:rPr>
          <w:rFonts w:ascii="Calibri" w:hAnsi="Calibri" w:cs="Calibri"/>
          <w:sz w:val="24"/>
          <w:szCs w:val="24"/>
        </w:rPr>
        <w:t xml:space="preserve">(2022). </w:t>
      </w:r>
      <w:proofErr w:type="spellStart"/>
      <w:r w:rsidRPr="008A6C23">
        <w:rPr>
          <w:rFonts w:ascii="Calibri" w:hAnsi="Calibri" w:cs="Calibri"/>
          <w:sz w:val="24"/>
          <w:szCs w:val="24"/>
        </w:rPr>
        <w:t>Hubungan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Sikap</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Pelajar</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Terhadap</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Penguasaan</w:t>
      </w:r>
      <w:proofErr w:type="spellEnd"/>
      <w:r w:rsidRPr="008A6C23">
        <w:rPr>
          <w:rFonts w:ascii="Calibri" w:hAnsi="Calibri" w:cs="Calibri"/>
          <w:sz w:val="24"/>
          <w:szCs w:val="24"/>
        </w:rPr>
        <w:t xml:space="preserve"> Bahasa Arab. </w:t>
      </w:r>
      <w:proofErr w:type="spellStart"/>
      <w:r w:rsidRPr="008A6C23">
        <w:rPr>
          <w:rFonts w:ascii="Calibri" w:hAnsi="Calibri" w:cs="Calibri"/>
          <w:sz w:val="24"/>
          <w:szCs w:val="24"/>
        </w:rPr>
        <w:t>Jurnal</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Ulwan</w:t>
      </w:r>
      <w:proofErr w:type="spellEnd"/>
      <w:r w:rsidRPr="008A6C23">
        <w:rPr>
          <w:rFonts w:ascii="Calibri" w:hAnsi="Calibri" w:cs="Calibri"/>
          <w:sz w:val="24"/>
          <w:szCs w:val="24"/>
        </w:rPr>
        <w:t xml:space="preserve"> Jilid 7 (Bil.2), 143-153.</w:t>
      </w:r>
    </w:p>
    <w:p w14:paraId="31E1EB23" w14:textId="5AF9805D" w:rsidR="008C0665" w:rsidRPr="008A6C23" w:rsidRDefault="008C0665" w:rsidP="008C0665">
      <w:pPr>
        <w:spacing w:after="0" w:line="240" w:lineRule="auto"/>
        <w:ind w:left="567" w:hanging="567"/>
        <w:jc w:val="both"/>
        <w:rPr>
          <w:rFonts w:ascii="Calibri" w:hAnsi="Calibri" w:cs="Calibri"/>
          <w:sz w:val="24"/>
          <w:szCs w:val="24"/>
        </w:rPr>
      </w:pPr>
      <w:r w:rsidRPr="008A6C23">
        <w:rPr>
          <w:rFonts w:ascii="Calibri" w:hAnsi="Calibri" w:cs="Calibri"/>
          <w:sz w:val="24"/>
          <w:szCs w:val="24"/>
        </w:rPr>
        <w:t>Hassan, S. A., Haitham A. A.  (2021). The Role of Language Proficiency in Willingness to Communicate: A Case Study of Saudi EFL Learners. Arab World English Journal (AWEJ) Volume 12. Number2 June 2021</w:t>
      </w:r>
    </w:p>
    <w:p w14:paraId="1C8BCA6B" w14:textId="77777777" w:rsidR="008C0665" w:rsidRPr="008A6C23" w:rsidRDefault="008C0665" w:rsidP="008C0665">
      <w:pPr>
        <w:spacing w:after="0" w:line="240" w:lineRule="auto"/>
        <w:ind w:left="567" w:hanging="567"/>
        <w:jc w:val="both"/>
        <w:rPr>
          <w:rFonts w:ascii="Calibri" w:eastAsia="Times New Roman" w:hAnsi="Calibri" w:cs="Calibri"/>
          <w:sz w:val="24"/>
          <w:szCs w:val="24"/>
          <w:lang w:eastAsia="en-MY"/>
        </w:rPr>
      </w:pPr>
      <w:r w:rsidRPr="008A6C23">
        <w:rPr>
          <w:rFonts w:ascii="Calibri" w:hAnsi="Calibri" w:cs="Calibri"/>
          <w:sz w:val="24"/>
          <w:szCs w:val="24"/>
        </w:rPr>
        <w:t xml:space="preserve">Mahmoodi, M.H., &amp; </w:t>
      </w:r>
      <w:proofErr w:type="spellStart"/>
      <w:r w:rsidRPr="008A6C23">
        <w:rPr>
          <w:rFonts w:ascii="Calibri" w:eastAsia="Times New Roman" w:hAnsi="Calibri" w:cs="Calibri"/>
          <w:sz w:val="24"/>
          <w:szCs w:val="24"/>
          <w:lang w:eastAsia="en-MY"/>
        </w:rPr>
        <w:t>Moazam</w:t>
      </w:r>
      <w:proofErr w:type="spellEnd"/>
      <w:r w:rsidRPr="008A6C23">
        <w:rPr>
          <w:rFonts w:ascii="Calibri" w:eastAsia="Times New Roman" w:hAnsi="Calibri" w:cs="Calibri"/>
          <w:sz w:val="24"/>
          <w:szCs w:val="24"/>
          <w:lang w:eastAsia="en-MY"/>
        </w:rPr>
        <w:t>, I. (2014).</w:t>
      </w:r>
      <w:r w:rsidRPr="008A6C23">
        <w:rPr>
          <w:rFonts w:ascii="Calibri" w:hAnsi="Calibri" w:cs="Calibri"/>
          <w:sz w:val="24"/>
          <w:szCs w:val="24"/>
        </w:rPr>
        <w:t xml:space="preserve"> </w:t>
      </w:r>
      <w:r w:rsidRPr="008A6C23">
        <w:rPr>
          <w:rFonts w:ascii="Calibri" w:eastAsia="Times New Roman" w:hAnsi="Calibri" w:cs="Calibri"/>
          <w:sz w:val="24"/>
          <w:szCs w:val="24"/>
          <w:lang w:eastAsia="en-MY"/>
        </w:rPr>
        <w:t xml:space="preserve">Willingness to Communicate (WTC) and L2 Achievement: The Case of Arabic Language Learners. Procedia - Social and </w:t>
      </w:r>
      <w:proofErr w:type="spellStart"/>
      <w:r w:rsidRPr="008A6C23">
        <w:rPr>
          <w:rFonts w:ascii="Calibri" w:eastAsia="Times New Roman" w:hAnsi="Calibri" w:cs="Calibri"/>
          <w:sz w:val="24"/>
          <w:szCs w:val="24"/>
          <w:lang w:eastAsia="en-MY"/>
        </w:rPr>
        <w:t>Behavioral</w:t>
      </w:r>
      <w:proofErr w:type="spellEnd"/>
      <w:r w:rsidRPr="008A6C23">
        <w:rPr>
          <w:rFonts w:ascii="Calibri" w:eastAsia="Times New Roman" w:hAnsi="Calibri" w:cs="Calibri"/>
          <w:sz w:val="24"/>
          <w:szCs w:val="24"/>
          <w:lang w:eastAsia="en-MY"/>
        </w:rPr>
        <w:t xml:space="preserve"> Sciences 98 (2014) 1069 – 1076</w:t>
      </w:r>
    </w:p>
    <w:p w14:paraId="39E12E75" w14:textId="77777777" w:rsidR="008C0665" w:rsidRPr="008A6C23" w:rsidRDefault="008C0665" w:rsidP="008C0665">
      <w:pPr>
        <w:spacing w:after="0" w:line="240" w:lineRule="auto"/>
        <w:ind w:left="567" w:hanging="567"/>
        <w:jc w:val="both"/>
        <w:rPr>
          <w:rFonts w:ascii="Calibri" w:hAnsi="Calibri" w:cs="Calibri"/>
          <w:sz w:val="24"/>
          <w:szCs w:val="24"/>
          <w:lang w:val="en-US"/>
        </w:rPr>
      </w:pPr>
      <w:proofErr w:type="spellStart"/>
      <w:r w:rsidRPr="008A6C23">
        <w:rPr>
          <w:rFonts w:ascii="Calibri" w:hAnsi="Calibri" w:cs="Calibri"/>
          <w:sz w:val="24"/>
          <w:szCs w:val="24"/>
        </w:rPr>
        <w:t>MacIntyre</w:t>
      </w:r>
      <w:proofErr w:type="spellEnd"/>
      <w:r w:rsidRPr="008A6C23">
        <w:rPr>
          <w:rFonts w:ascii="Calibri" w:hAnsi="Calibri" w:cs="Calibri"/>
          <w:sz w:val="24"/>
          <w:szCs w:val="24"/>
        </w:rPr>
        <w:t>, P. (2007). Willingness to communicate in the second language: understanding the decision to speak as a volitional process. Modern Language Journal, 91, 564-576</w:t>
      </w:r>
    </w:p>
    <w:p w14:paraId="0EC01234" w14:textId="77777777" w:rsidR="008C0665" w:rsidRPr="008A6C23" w:rsidRDefault="008C0665" w:rsidP="008C0665">
      <w:pPr>
        <w:spacing w:after="0" w:line="240" w:lineRule="auto"/>
        <w:ind w:left="567" w:hanging="567"/>
        <w:jc w:val="both"/>
        <w:rPr>
          <w:rFonts w:ascii="Calibri" w:hAnsi="Calibri" w:cs="Calibri"/>
          <w:sz w:val="24"/>
          <w:szCs w:val="24"/>
          <w:lang w:val="en-US"/>
        </w:rPr>
      </w:pPr>
      <w:proofErr w:type="spellStart"/>
      <w:r w:rsidRPr="008A6C23">
        <w:rPr>
          <w:rFonts w:ascii="Calibri" w:hAnsi="Calibri" w:cs="Calibri"/>
          <w:sz w:val="24"/>
          <w:szCs w:val="24"/>
        </w:rPr>
        <w:t>MacIntyre</w:t>
      </w:r>
      <w:proofErr w:type="spellEnd"/>
      <w:r w:rsidRPr="008A6C23">
        <w:rPr>
          <w:rFonts w:ascii="Calibri" w:hAnsi="Calibri" w:cs="Calibri"/>
          <w:sz w:val="24"/>
          <w:szCs w:val="24"/>
        </w:rPr>
        <w:t xml:space="preserve">, P., </w:t>
      </w:r>
      <w:proofErr w:type="spellStart"/>
      <w:r w:rsidRPr="008A6C23">
        <w:rPr>
          <w:rFonts w:ascii="Calibri" w:hAnsi="Calibri" w:cs="Calibri"/>
          <w:sz w:val="24"/>
          <w:szCs w:val="24"/>
        </w:rPr>
        <w:t>Dornyei</w:t>
      </w:r>
      <w:proofErr w:type="spellEnd"/>
      <w:r w:rsidRPr="008A6C23">
        <w:rPr>
          <w:rFonts w:ascii="Calibri" w:hAnsi="Calibri" w:cs="Calibri"/>
          <w:sz w:val="24"/>
          <w:szCs w:val="24"/>
        </w:rPr>
        <w:t xml:space="preserve">, Z., Clement, R., &amp; Noels, K. (1998). </w:t>
      </w:r>
      <w:proofErr w:type="spellStart"/>
      <w:r w:rsidRPr="008A6C23">
        <w:rPr>
          <w:rFonts w:ascii="Calibri" w:hAnsi="Calibri" w:cs="Calibri"/>
          <w:sz w:val="24"/>
          <w:szCs w:val="24"/>
        </w:rPr>
        <w:t>Conceptionalizing</w:t>
      </w:r>
      <w:proofErr w:type="spellEnd"/>
      <w:r w:rsidRPr="008A6C23">
        <w:rPr>
          <w:rFonts w:ascii="Calibri" w:hAnsi="Calibri" w:cs="Calibri"/>
          <w:sz w:val="24"/>
          <w:szCs w:val="24"/>
        </w:rPr>
        <w:t xml:space="preserve"> willingness to communicate in a L2: a situational model of L2 confidence and affiliation. Modern Language Journal, 82(3), 545-562.</w:t>
      </w:r>
    </w:p>
    <w:p w14:paraId="3B47A201" w14:textId="77777777" w:rsidR="008C0665" w:rsidRPr="008A6C23" w:rsidRDefault="008C0665" w:rsidP="008C0665">
      <w:pPr>
        <w:spacing w:after="0" w:line="240" w:lineRule="auto"/>
        <w:ind w:left="567" w:hanging="567"/>
        <w:jc w:val="both"/>
        <w:rPr>
          <w:rFonts w:ascii="Calibri" w:hAnsi="Calibri" w:cs="Calibri"/>
          <w:sz w:val="24"/>
          <w:szCs w:val="24"/>
        </w:rPr>
      </w:pPr>
      <w:r w:rsidRPr="008C0665">
        <w:rPr>
          <w:rFonts w:ascii="Calibri" w:hAnsi="Calibri" w:cs="Calibri"/>
          <w:sz w:val="24"/>
          <w:szCs w:val="24"/>
        </w:rPr>
        <w:t>Mohd Fauzi, M. S. H.</w:t>
      </w:r>
      <w:r w:rsidRPr="008A6C23">
        <w:rPr>
          <w:rFonts w:ascii="Calibri" w:hAnsi="Calibri" w:cs="Calibri"/>
          <w:sz w:val="24"/>
          <w:szCs w:val="24"/>
        </w:rPr>
        <w:t xml:space="preserve">, </w:t>
      </w:r>
      <w:r w:rsidRPr="008C0665">
        <w:rPr>
          <w:rFonts w:ascii="Calibri" w:hAnsi="Calibri" w:cs="Calibri"/>
          <w:sz w:val="24"/>
          <w:szCs w:val="24"/>
        </w:rPr>
        <w:t xml:space="preserve">Mohd </w:t>
      </w:r>
      <w:proofErr w:type="spellStart"/>
      <w:r w:rsidRPr="008C0665">
        <w:rPr>
          <w:rFonts w:ascii="Calibri" w:hAnsi="Calibri" w:cs="Calibri"/>
          <w:sz w:val="24"/>
          <w:szCs w:val="24"/>
        </w:rPr>
        <w:t>Pisol</w:t>
      </w:r>
      <w:proofErr w:type="spellEnd"/>
      <w:r w:rsidRPr="008C0665">
        <w:rPr>
          <w:rFonts w:ascii="Calibri" w:hAnsi="Calibri" w:cs="Calibri"/>
          <w:sz w:val="24"/>
          <w:szCs w:val="24"/>
        </w:rPr>
        <w:t>, M. I.</w:t>
      </w:r>
      <w:r w:rsidRPr="008A6C23">
        <w:rPr>
          <w:rFonts w:ascii="Calibri" w:hAnsi="Calibri" w:cs="Calibri"/>
          <w:sz w:val="24"/>
          <w:szCs w:val="24"/>
        </w:rPr>
        <w:t xml:space="preserve">, </w:t>
      </w:r>
      <w:proofErr w:type="spellStart"/>
      <w:proofErr w:type="gramStart"/>
      <w:r w:rsidRPr="008A6C23">
        <w:rPr>
          <w:rFonts w:ascii="Calibri" w:hAnsi="Calibri" w:cs="Calibri"/>
          <w:sz w:val="24"/>
          <w:szCs w:val="24"/>
        </w:rPr>
        <w:t>Maromar,</w:t>
      </w:r>
      <w:r>
        <w:rPr>
          <w:rFonts w:ascii="Calibri" w:hAnsi="Calibri" w:cs="Calibri"/>
          <w:sz w:val="24"/>
          <w:szCs w:val="24"/>
        </w:rPr>
        <w:t>F</w:t>
      </w:r>
      <w:proofErr w:type="spellEnd"/>
      <w:r>
        <w:rPr>
          <w:rFonts w:ascii="Calibri" w:hAnsi="Calibri" w:cs="Calibri"/>
          <w:sz w:val="24"/>
          <w:szCs w:val="24"/>
        </w:rPr>
        <w:t>.</w:t>
      </w:r>
      <w:proofErr w:type="gramEnd"/>
      <w:r w:rsidRPr="008A6C23">
        <w:rPr>
          <w:rFonts w:ascii="Calibri" w:hAnsi="Calibri" w:cs="Calibri"/>
          <w:sz w:val="24"/>
          <w:szCs w:val="24"/>
        </w:rPr>
        <w:t xml:space="preserve"> Ismail</w:t>
      </w:r>
      <w:r>
        <w:rPr>
          <w:rFonts w:ascii="Calibri" w:hAnsi="Calibri" w:cs="Calibri"/>
          <w:sz w:val="24"/>
          <w:szCs w:val="24"/>
        </w:rPr>
        <w:t xml:space="preserve">, M.R </w:t>
      </w:r>
      <w:r w:rsidRPr="008A6C23">
        <w:rPr>
          <w:rFonts w:ascii="Calibri" w:hAnsi="Calibri" w:cs="Calibri"/>
          <w:sz w:val="24"/>
          <w:szCs w:val="24"/>
        </w:rPr>
        <w:t xml:space="preserve">&amp; </w:t>
      </w:r>
      <w:r w:rsidRPr="008C0665">
        <w:rPr>
          <w:rFonts w:ascii="Calibri" w:hAnsi="Calibri" w:cs="Calibri"/>
          <w:sz w:val="24"/>
          <w:szCs w:val="24"/>
        </w:rPr>
        <w:t>Ghazali, A. R</w:t>
      </w:r>
      <w:r w:rsidRPr="008A6C23">
        <w:rPr>
          <w:rFonts w:ascii="Calibri" w:hAnsi="Calibri" w:cs="Calibri"/>
          <w:sz w:val="24"/>
          <w:szCs w:val="24"/>
        </w:rPr>
        <w:t xml:space="preserve">. (2020). </w:t>
      </w:r>
      <w:proofErr w:type="spellStart"/>
      <w:r w:rsidRPr="008A6C23">
        <w:rPr>
          <w:rFonts w:ascii="Calibri" w:hAnsi="Calibri" w:cs="Calibri"/>
          <w:sz w:val="24"/>
          <w:szCs w:val="24"/>
        </w:rPr>
        <w:t>Permasalahan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Pembelajaran</w:t>
      </w:r>
      <w:proofErr w:type="spellEnd"/>
      <w:r w:rsidRPr="008A6C23">
        <w:rPr>
          <w:rFonts w:ascii="Calibri" w:hAnsi="Calibri" w:cs="Calibri"/>
          <w:sz w:val="24"/>
          <w:szCs w:val="24"/>
        </w:rPr>
        <w:t xml:space="preserve"> Kemahiran </w:t>
      </w:r>
      <w:proofErr w:type="spellStart"/>
      <w:r w:rsidRPr="008A6C23">
        <w:rPr>
          <w:rFonts w:ascii="Calibri" w:hAnsi="Calibri" w:cs="Calibri"/>
          <w:sz w:val="24"/>
          <w:szCs w:val="24"/>
        </w:rPr>
        <w:t>Bertutur</w:t>
      </w:r>
      <w:proofErr w:type="spellEnd"/>
      <w:r w:rsidRPr="008A6C23">
        <w:rPr>
          <w:rFonts w:ascii="Calibri" w:hAnsi="Calibri" w:cs="Calibri"/>
          <w:sz w:val="24"/>
          <w:szCs w:val="24"/>
        </w:rPr>
        <w:t xml:space="preserve"> Bahasa Arab Dalam </w:t>
      </w:r>
      <w:proofErr w:type="spellStart"/>
      <w:r w:rsidRPr="008A6C23">
        <w:rPr>
          <w:rFonts w:ascii="Calibri" w:hAnsi="Calibri" w:cs="Calibri"/>
          <w:sz w:val="24"/>
          <w:szCs w:val="24"/>
        </w:rPr>
        <w:t>Kalangan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Pelajar</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lastRenderedPageBreak/>
        <w:t>Bukan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Penutur</w:t>
      </w:r>
      <w:proofErr w:type="spellEnd"/>
      <w:r w:rsidRPr="008A6C23">
        <w:rPr>
          <w:rFonts w:ascii="Calibri" w:hAnsi="Calibri" w:cs="Calibri"/>
          <w:sz w:val="24"/>
          <w:szCs w:val="24"/>
        </w:rPr>
        <w:t xml:space="preserve"> Jati: Satu Kajian Di Kolej </w:t>
      </w:r>
      <w:proofErr w:type="spellStart"/>
      <w:r w:rsidRPr="008A6C23">
        <w:rPr>
          <w:rFonts w:ascii="Calibri" w:hAnsi="Calibri" w:cs="Calibri"/>
          <w:sz w:val="24"/>
          <w:szCs w:val="24"/>
        </w:rPr>
        <w:t>Universiti</w:t>
      </w:r>
      <w:proofErr w:type="spellEnd"/>
      <w:r w:rsidRPr="008A6C23">
        <w:rPr>
          <w:rFonts w:ascii="Calibri" w:hAnsi="Calibri" w:cs="Calibri"/>
          <w:sz w:val="24"/>
          <w:szCs w:val="24"/>
        </w:rPr>
        <w:t xml:space="preserve"> Islam </w:t>
      </w:r>
      <w:proofErr w:type="spellStart"/>
      <w:r w:rsidRPr="008A6C23">
        <w:rPr>
          <w:rFonts w:ascii="Calibri" w:hAnsi="Calibri" w:cs="Calibri"/>
          <w:sz w:val="24"/>
          <w:szCs w:val="24"/>
        </w:rPr>
        <w:t>Antarabangsa</w:t>
      </w:r>
      <w:proofErr w:type="spellEnd"/>
      <w:r w:rsidRPr="008A6C23">
        <w:rPr>
          <w:rFonts w:ascii="Calibri" w:hAnsi="Calibri" w:cs="Calibri"/>
          <w:sz w:val="24"/>
          <w:szCs w:val="24"/>
        </w:rPr>
        <w:t xml:space="preserve"> Selangor. Seminar </w:t>
      </w:r>
      <w:proofErr w:type="spellStart"/>
      <w:r w:rsidRPr="008A6C23">
        <w:rPr>
          <w:rFonts w:ascii="Calibri" w:hAnsi="Calibri" w:cs="Calibri"/>
          <w:sz w:val="24"/>
          <w:szCs w:val="24"/>
        </w:rPr>
        <w:t>Antarabangsa</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Isu-Isu</w:t>
      </w:r>
      <w:proofErr w:type="spellEnd"/>
      <w:r w:rsidRPr="008A6C23">
        <w:rPr>
          <w:rFonts w:ascii="Calibri" w:hAnsi="Calibri" w:cs="Calibri"/>
          <w:sz w:val="24"/>
          <w:szCs w:val="24"/>
        </w:rPr>
        <w:t xml:space="preserve"> Pendidikan (ISPEN 2020). Kolej </w:t>
      </w:r>
      <w:proofErr w:type="spellStart"/>
      <w:r w:rsidRPr="008A6C23">
        <w:rPr>
          <w:rFonts w:ascii="Calibri" w:hAnsi="Calibri" w:cs="Calibri"/>
          <w:sz w:val="24"/>
          <w:szCs w:val="24"/>
        </w:rPr>
        <w:t>Universiti</w:t>
      </w:r>
      <w:proofErr w:type="spellEnd"/>
      <w:r w:rsidRPr="008A6C23">
        <w:rPr>
          <w:rFonts w:ascii="Calibri" w:hAnsi="Calibri" w:cs="Calibri"/>
          <w:sz w:val="24"/>
          <w:szCs w:val="24"/>
        </w:rPr>
        <w:t xml:space="preserve"> Islam </w:t>
      </w:r>
      <w:proofErr w:type="spellStart"/>
      <w:r w:rsidRPr="008A6C23">
        <w:rPr>
          <w:rFonts w:ascii="Calibri" w:hAnsi="Calibri" w:cs="Calibri"/>
          <w:sz w:val="24"/>
          <w:szCs w:val="24"/>
        </w:rPr>
        <w:t>Antarabangsa</w:t>
      </w:r>
      <w:proofErr w:type="spellEnd"/>
      <w:r w:rsidRPr="008A6C23">
        <w:rPr>
          <w:rFonts w:ascii="Calibri" w:hAnsi="Calibri" w:cs="Calibri"/>
          <w:sz w:val="24"/>
          <w:szCs w:val="24"/>
        </w:rPr>
        <w:t xml:space="preserve"> Selangor (KUIS).</w:t>
      </w:r>
    </w:p>
    <w:p w14:paraId="2754BDCF" w14:textId="77777777" w:rsidR="008C0665" w:rsidRPr="008A6C23" w:rsidRDefault="008C0665" w:rsidP="008C0665">
      <w:pPr>
        <w:spacing w:after="0" w:line="240" w:lineRule="auto"/>
        <w:ind w:left="567" w:hanging="567"/>
        <w:jc w:val="both"/>
        <w:rPr>
          <w:rFonts w:ascii="Calibri" w:hAnsi="Calibri" w:cs="Calibri"/>
          <w:sz w:val="24"/>
          <w:szCs w:val="24"/>
        </w:rPr>
      </w:pPr>
      <w:r w:rsidRPr="002543FA">
        <w:rPr>
          <w:rFonts w:ascii="Calibri" w:hAnsi="Calibri" w:cs="Calibri"/>
          <w:sz w:val="24"/>
          <w:szCs w:val="24"/>
        </w:rPr>
        <w:t>Mohd Noor, S. S.</w:t>
      </w:r>
      <w:r w:rsidRPr="008A6C23">
        <w:rPr>
          <w:rFonts w:ascii="Calibri" w:hAnsi="Calibri" w:cs="Calibri"/>
          <w:sz w:val="24"/>
          <w:szCs w:val="24"/>
        </w:rPr>
        <w:t xml:space="preserve">, Osman, </w:t>
      </w:r>
      <w:proofErr w:type="gramStart"/>
      <w:r>
        <w:rPr>
          <w:rFonts w:ascii="Calibri" w:hAnsi="Calibri" w:cs="Calibri"/>
          <w:sz w:val="24"/>
          <w:szCs w:val="24"/>
        </w:rPr>
        <w:t>N. ,</w:t>
      </w:r>
      <w:proofErr w:type="gramEnd"/>
      <w:r w:rsidRPr="00CE0C58">
        <w:t xml:space="preserve"> </w:t>
      </w:r>
      <w:r w:rsidRPr="00CE0C58">
        <w:rPr>
          <w:rFonts w:ascii="Calibri" w:hAnsi="Calibri" w:cs="Calibri"/>
          <w:sz w:val="24"/>
          <w:szCs w:val="24"/>
        </w:rPr>
        <w:t xml:space="preserve">Mohmad </w:t>
      </w:r>
      <w:proofErr w:type="spellStart"/>
      <w:r w:rsidRPr="00CE0C58">
        <w:rPr>
          <w:rFonts w:ascii="Calibri" w:hAnsi="Calibri" w:cs="Calibri"/>
          <w:sz w:val="24"/>
          <w:szCs w:val="24"/>
        </w:rPr>
        <w:t>Rouyan</w:t>
      </w:r>
      <w:proofErr w:type="spellEnd"/>
      <w:r w:rsidRPr="00CE0C58">
        <w:rPr>
          <w:rFonts w:ascii="Calibri" w:hAnsi="Calibri" w:cs="Calibri"/>
          <w:sz w:val="24"/>
          <w:szCs w:val="24"/>
        </w:rPr>
        <w:t>, N.</w:t>
      </w:r>
      <w:r w:rsidRPr="008A6C23">
        <w:rPr>
          <w:rFonts w:ascii="Calibri" w:hAnsi="Calibri" w:cs="Calibri"/>
          <w:sz w:val="24"/>
          <w:szCs w:val="24"/>
        </w:rPr>
        <w:t xml:space="preserve">, </w:t>
      </w:r>
      <w:r w:rsidRPr="00CE0C58">
        <w:rPr>
          <w:rFonts w:ascii="Calibri" w:hAnsi="Calibri" w:cs="Calibri"/>
          <w:sz w:val="24"/>
          <w:szCs w:val="24"/>
        </w:rPr>
        <w:t xml:space="preserve">Che Hat , N. </w:t>
      </w:r>
      <w:r w:rsidRPr="008A6C23">
        <w:rPr>
          <w:rFonts w:ascii="Calibri" w:hAnsi="Calibri" w:cs="Calibri"/>
          <w:sz w:val="24"/>
          <w:szCs w:val="24"/>
        </w:rPr>
        <w:t xml:space="preserve">&amp; </w:t>
      </w:r>
      <w:r w:rsidRPr="00CE0C58">
        <w:rPr>
          <w:rFonts w:ascii="Calibri" w:hAnsi="Calibri" w:cs="Calibri"/>
          <w:sz w:val="24"/>
          <w:szCs w:val="24"/>
        </w:rPr>
        <w:t>Mat Saad, K. N.</w:t>
      </w:r>
      <w:r w:rsidRPr="008A6C23">
        <w:rPr>
          <w:rFonts w:ascii="Calibri" w:hAnsi="Calibri" w:cs="Calibri"/>
          <w:sz w:val="24"/>
          <w:szCs w:val="24"/>
        </w:rPr>
        <w:t xml:space="preserve"> (2021). Kemahiran </w:t>
      </w:r>
      <w:proofErr w:type="spellStart"/>
      <w:r w:rsidRPr="008A6C23">
        <w:rPr>
          <w:rFonts w:ascii="Calibri" w:hAnsi="Calibri" w:cs="Calibri"/>
          <w:sz w:val="24"/>
          <w:szCs w:val="24"/>
        </w:rPr>
        <w:t>Bertutur</w:t>
      </w:r>
      <w:proofErr w:type="spellEnd"/>
      <w:r w:rsidRPr="008A6C23">
        <w:rPr>
          <w:rFonts w:ascii="Calibri" w:hAnsi="Calibri" w:cs="Calibri"/>
          <w:sz w:val="24"/>
          <w:szCs w:val="24"/>
        </w:rPr>
        <w:t xml:space="preserve"> Bahasa Arab Luar </w:t>
      </w:r>
      <w:proofErr w:type="spellStart"/>
      <w:r w:rsidRPr="008A6C23">
        <w:rPr>
          <w:rFonts w:ascii="Calibri" w:hAnsi="Calibri" w:cs="Calibri"/>
          <w:sz w:val="24"/>
          <w:szCs w:val="24"/>
        </w:rPr>
        <w:t>Kelas</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dalam</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Kalangan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Penutur</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Bukan</w:t>
      </w:r>
      <w:proofErr w:type="spellEnd"/>
      <w:r w:rsidRPr="008A6C23">
        <w:rPr>
          <w:rFonts w:ascii="Calibri" w:hAnsi="Calibri" w:cs="Calibri"/>
          <w:sz w:val="24"/>
          <w:szCs w:val="24"/>
        </w:rPr>
        <w:t xml:space="preserve"> Asli Bahasa Arab. BITARA International Journal of Civilizational Studies and Human Sciences Volume 4, Issue 2, 59-.</w:t>
      </w:r>
    </w:p>
    <w:p w14:paraId="34CE326D" w14:textId="7FACAEE2" w:rsidR="008A6C23" w:rsidRPr="008A6C23" w:rsidRDefault="008A6C23" w:rsidP="008A6C23">
      <w:pPr>
        <w:spacing w:after="0" w:line="240" w:lineRule="auto"/>
        <w:ind w:left="567" w:hanging="567"/>
        <w:jc w:val="both"/>
        <w:rPr>
          <w:rFonts w:ascii="Calibri" w:hAnsi="Calibri" w:cs="Calibri"/>
          <w:sz w:val="24"/>
          <w:szCs w:val="24"/>
        </w:rPr>
      </w:pPr>
      <w:r w:rsidRPr="008A6C23">
        <w:rPr>
          <w:rFonts w:ascii="Calibri" w:hAnsi="Calibri" w:cs="Calibri"/>
          <w:sz w:val="24"/>
          <w:szCs w:val="24"/>
        </w:rPr>
        <w:t>Mohamad</w:t>
      </w:r>
      <w:r w:rsidR="00171EBB">
        <w:rPr>
          <w:rFonts w:ascii="Calibri" w:hAnsi="Calibri" w:cs="Calibri"/>
          <w:sz w:val="24"/>
          <w:szCs w:val="24"/>
        </w:rPr>
        <w:t>, A.H</w:t>
      </w:r>
      <w:r w:rsidRPr="008A6C23">
        <w:rPr>
          <w:rFonts w:ascii="Calibri" w:hAnsi="Calibri" w:cs="Calibri"/>
          <w:sz w:val="24"/>
          <w:szCs w:val="24"/>
        </w:rPr>
        <w:t xml:space="preserve">. (2009). </w:t>
      </w:r>
      <w:proofErr w:type="spellStart"/>
      <w:r w:rsidRPr="008A6C23">
        <w:rPr>
          <w:rFonts w:ascii="Calibri" w:hAnsi="Calibri" w:cs="Calibri"/>
          <w:sz w:val="24"/>
          <w:szCs w:val="24"/>
        </w:rPr>
        <w:t>Tahap</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Komunikasi</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dalam</w:t>
      </w:r>
      <w:proofErr w:type="spellEnd"/>
      <w:r w:rsidRPr="008A6C23">
        <w:rPr>
          <w:rFonts w:ascii="Calibri" w:hAnsi="Calibri" w:cs="Calibri"/>
          <w:sz w:val="24"/>
          <w:szCs w:val="24"/>
        </w:rPr>
        <w:t xml:space="preserve"> Bahasa Arab </w:t>
      </w:r>
      <w:proofErr w:type="spellStart"/>
      <w:r w:rsidRPr="008A6C23">
        <w:rPr>
          <w:rFonts w:ascii="Calibri" w:hAnsi="Calibri" w:cs="Calibri"/>
          <w:sz w:val="24"/>
          <w:szCs w:val="24"/>
        </w:rPr>
        <w:t>dalam</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Kalangan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Pelajar</w:t>
      </w:r>
      <w:proofErr w:type="spellEnd"/>
      <w:r w:rsidRPr="008A6C23">
        <w:rPr>
          <w:rFonts w:ascii="Calibri" w:hAnsi="Calibri" w:cs="Calibri"/>
          <w:sz w:val="24"/>
          <w:szCs w:val="24"/>
        </w:rPr>
        <w:t xml:space="preserve"> Sarjana Muda Bahasa Arab di IPTA Malaysia. Journal of Islamic and Arabic Education 1(1), 1-14.</w:t>
      </w:r>
    </w:p>
    <w:p w14:paraId="3A9EF0AE" w14:textId="461ED9E7" w:rsidR="008C0665" w:rsidRDefault="008C0665" w:rsidP="008C0665">
      <w:pPr>
        <w:spacing w:after="0" w:line="240" w:lineRule="auto"/>
        <w:ind w:left="567" w:hanging="567"/>
        <w:jc w:val="both"/>
        <w:rPr>
          <w:rFonts w:ascii="Calibri" w:hAnsi="Calibri" w:cs="Calibri"/>
          <w:sz w:val="24"/>
          <w:szCs w:val="24"/>
        </w:rPr>
      </w:pPr>
      <w:r w:rsidRPr="002543FA">
        <w:rPr>
          <w:rFonts w:ascii="Calibri" w:hAnsi="Calibri" w:cs="Calibri"/>
          <w:sz w:val="24"/>
          <w:szCs w:val="24"/>
        </w:rPr>
        <w:t xml:space="preserve">Mohamad </w:t>
      </w:r>
      <w:proofErr w:type="gramStart"/>
      <w:r w:rsidRPr="002543FA">
        <w:rPr>
          <w:rFonts w:ascii="Calibri" w:hAnsi="Calibri" w:cs="Calibri"/>
          <w:sz w:val="24"/>
          <w:szCs w:val="24"/>
        </w:rPr>
        <w:t>Nasir ,</w:t>
      </w:r>
      <w:proofErr w:type="gramEnd"/>
      <w:r w:rsidRPr="002543FA">
        <w:rPr>
          <w:rFonts w:ascii="Calibri" w:hAnsi="Calibri" w:cs="Calibri"/>
          <w:sz w:val="24"/>
          <w:szCs w:val="24"/>
        </w:rPr>
        <w:t xml:space="preserve"> Z. </w:t>
      </w:r>
      <w:r w:rsidRPr="008A6C23">
        <w:rPr>
          <w:rFonts w:ascii="Calibri" w:hAnsi="Calibri" w:cs="Calibri"/>
          <w:sz w:val="24"/>
          <w:szCs w:val="24"/>
        </w:rPr>
        <w:t xml:space="preserve">&amp; </w:t>
      </w:r>
      <w:r w:rsidRPr="002543FA">
        <w:rPr>
          <w:rFonts w:ascii="Calibri" w:hAnsi="Calibri" w:cs="Calibri"/>
          <w:sz w:val="24"/>
          <w:szCs w:val="24"/>
        </w:rPr>
        <w:t>Zainon Hamzah, Z. A</w:t>
      </w:r>
      <w:r w:rsidRPr="008A6C23">
        <w:rPr>
          <w:rFonts w:ascii="Calibri" w:hAnsi="Calibri" w:cs="Calibri"/>
          <w:sz w:val="24"/>
          <w:szCs w:val="24"/>
        </w:rPr>
        <w:t xml:space="preserve">. (2014). </w:t>
      </w:r>
      <w:proofErr w:type="spellStart"/>
      <w:r w:rsidRPr="008A6C23">
        <w:rPr>
          <w:rFonts w:ascii="Calibri" w:hAnsi="Calibri" w:cs="Calibri"/>
          <w:sz w:val="24"/>
          <w:szCs w:val="24"/>
        </w:rPr>
        <w:t>Sikap</w:t>
      </w:r>
      <w:proofErr w:type="spellEnd"/>
      <w:r w:rsidRPr="008A6C23">
        <w:rPr>
          <w:rFonts w:ascii="Calibri" w:hAnsi="Calibri" w:cs="Calibri"/>
          <w:sz w:val="24"/>
          <w:szCs w:val="24"/>
        </w:rPr>
        <w:t xml:space="preserve"> dan </w:t>
      </w:r>
      <w:proofErr w:type="spellStart"/>
      <w:r w:rsidRPr="008A6C23">
        <w:rPr>
          <w:rFonts w:ascii="Calibri" w:hAnsi="Calibri" w:cs="Calibri"/>
          <w:sz w:val="24"/>
          <w:szCs w:val="24"/>
        </w:rPr>
        <w:t>motivasi</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pelajar</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terhadap</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pembelajaran</w:t>
      </w:r>
      <w:proofErr w:type="spellEnd"/>
      <w:r w:rsidRPr="008A6C23">
        <w:rPr>
          <w:rFonts w:ascii="Calibri" w:hAnsi="Calibri" w:cs="Calibri"/>
          <w:sz w:val="24"/>
          <w:szCs w:val="24"/>
        </w:rPr>
        <w:t xml:space="preserve"> Bahasa </w:t>
      </w:r>
      <w:proofErr w:type="spellStart"/>
      <w:r w:rsidRPr="008A6C23">
        <w:rPr>
          <w:rFonts w:ascii="Calibri" w:hAnsi="Calibri" w:cs="Calibri"/>
          <w:sz w:val="24"/>
          <w:szCs w:val="24"/>
        </w:rPr>
        <w:t>Melayu</w:t>
      </w:r>
      <w:proofErr w:type="spellEnd"/>
      <w:r w:rsidRPr="008A6C23">
        <w:rPr>
          <w:rFonts w:ascii="Calibri" w:hAnsi="Calibri" w:cs="Calibri"/>
          <w:sz w:val="24"/>
          <w:szCs w:val="24"/>
        </w:rPr>
        <w:t xml:space="preserve">. Procedia - Social and </w:t>
      </w:r>
      <w:proofErr w:type="spellStart"/>
      <w:r w:rsidRPr="008A6C23">
        <w:rPr>
          <w:rFonts w:ascii="Calibri" w:hAnsi="Calibri" w:cs="Calibri"/>
          <w:sz w:val="24"/>
          <w:szCs w:val="24"/>
        </w:rPr>
        <w:t>Behavioral</w:t>
      </w:r>
      <w:proofErr w:type="spellEnd"/>
      <w:r w:rsidRPr="008A6C23">
        <w:rPr>
          <w:rFonts w:ascii="Calibri" w:hAnsi="Calibri" w:cs="Calibri"/>
          <w:sz w:val="24"/>
          <w:szCs w:val="24"/>
        </w:rPr>
        <w:t xml:space="preserve"> Sciences 134, 408-415.</w:t>
      </w:r>
    </w:p>
    <w:p w14:paraId="791A2659" w14:textId="77777777" w:rsidR="008C0665" w:rsidRPr="008A6C23" w:rsidRDefault="008C0665" w:rsidP="008C0665">
      <w:pPr>
        <w:spacing w:after="0" w:line="240" w:lineRule="auto"/>
        <w:ind w:left="567" w:hanging="567"/>
        <w:jc w:val="both"/>
        <w:rPr>
          <w:rFonts w:ascii="Calibri" w:hAnsi="Calibri" w:cs="Calibri"/>
          <w:sz w:val="24"/>
          <w:szCs w:val="24"/>
        </w:rPr>
      </w:pPr>
      <w:r w:rsidRPr="008A6C23">
        <w:rPr>
          <w:rFonts w:ascii="Calibri" w:hAnsi="Calibri" w:cs="Calibri"/>
          <w:sz w:val="24"/>
          <w:szCs w:val="24"/>
        </w:rPr>
        <w:t xml:space="preserve">Muhammad Sabri </w:t>
      </w:r>
      <w:proofErr w:type="spellStart"/>
      <w:r w:rsidRPr="008A6C23">
        <w:rPr>
          <w:rFonts w:ascii="Calibri" w:hAnsi="Calibri" w:cs="Calibri"/>
          <w:sz w:val="24"/>
          <w:szCs w:val="24"/>
        </w:rPr>
        <w:t>Sahrir</w:t>
      </w:r>
      <w:proofErr w:type="spellEnd"/>
      <w:r w:rsidRPr="008A6C23">
        <w:rPr>
          <w:rFonts w:ascii="Calibri" w:hAnsi="Calibri" w:cs="Calibri"/>
          <w:sz w:val="24"/>
          <w:szCs w:val="24"/>
        </w:rPr>
        <w:t xml:space="preserve">. (2015). Bahasa Arab Tembusi </w:t>
      </w:r>
      <w:proofErr w:type="spellStart"/>
      <w:r w:rsidRPr="008A6C23">
        <w:rPr>
          <w:rFonts w:ascii="Calibri" w:hAnsi="Calibri" w:cs="Calibri"/>
          <w:sz w:val="24"/>
          <w:szCs w:val="24"/>
        </w:rPr>
        <w:t>Pengajian</w:t>
      </w:r>
      <w:proofErr w:type="spellEnd"/>
      <w:r w:rsidRPr="008A6C23">
        <w:rPr>
          <w:rFonts w:ascii="Calibri" w:hAnsi="Calibri" w:cs="Calibri"/>
          <w:sz w:val="24"/>
          <w:szCs w:val="24"/>
        </w:rPr>
        <w:t xml:space="preserve"> Formal di </w:t>
      </w:r>
      <w:proofErr w:type="spellStart"/>
      <w:r w:rsidRPr="008A6C23">
        <w:rPr>
          <w:rFonts w:ascii="Calibri" w:hAnsi="Calibri" w:cs="Calibri"/>
          <w:sz w:val="24"/>
          <w:szCs w:val="24"/>
        </w:rPr>
        <w:t>Sekolah</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Universiti</w:t>
      </w:r>
      <w:proofErr w:type="spellEnd"/>
      <w:r w:rsidRPr="008A6C23">
        <w:rPr>
          <w:rFonts w:ascii="Calibri" w:hAnsi="Calibri" w:cs="Calibri"/>
          <w:sz w:val="24"/>
          <w:szCs w:val="24"/>
        </w:rPr>
        <w:t>. Berita Harian, Rabu, 23 September 2015.</w:t>
      </w:r>
    </w:p>
    <w:p w14:paraId="4838E23E" w14:textId="066DEB82" w:rsidR="008C0665" w:rsidRPr="008A6C23" w:rsidRDefault="008C0665" w:rsidP="008C0665">
      <w:pPr>
        <w:spacing w:after="0" w:line="240" w:lineRule="auto"/>
        <w:ind w:left="567" w:hanging="567"/>
        <w:jc w:val="both"/>
        <w:rPr>
          <w:rFonts w:ascii="Calibri" w:hAnsi="Calibri" w:cs="Calibri"/>
          <w:sz w:val="24"/>
          <w:szCs w:val="24"/>
        </w:rPr>
      </w:pPr>
      <w:r w:rsidRPr="002543FA">
        <w:rPr>
          <w:rFonts w:ascii="Calibri" w:hAnsi="Calibri" w:cs="Calibri"/>
          <w:sz w:val="24"/>
          <w:szCs w:val="24"/>
        </w:rPr>
        <w:t>Rosli, F. H.</w:t>
      </w:r>
      <w:r w:rsidRPr="008A6C23">
        <w:rPr>
          <w:rFonts w:ascii="Calibri" w:hAnsi="Calibri" w:cs="Calibri"/>
          <w:sz w:val="24"/>
          <w:szCs w:val="24"/>
        </w:rPr>
        <w:t xml:space="preserve">, Harun </w:t>
      </w:r>
      <w:proofErr w:type="spellStart"/>
      <w:proofErr w:type="gramStart"/>
      <w:r w:rsidRPr="008A6C23">
        <w:rPr>
          <w:rFonts w:ascii="Calibri" w:hAnsi="Calibri" w:cs="Calibri"/>
          <w:sz w:val="24"/>
          <w:szCs w:val="24"/>
        </w:rPr>
        <w:t>Baharudin</w:t>
      </w:r>
      <w:r>
        <w:rPr>
          <w:rFonts w:ascii="Calibri" w:hAnsi="Calibri" w:cs="Calibri"/>
          <w:sz w:val="24"/>
          <w:szCs w:val="24"/>
        </w:rPr>
        <w:t>,H</w:t>
      </w:r>
      <w:proofErr w:type="spellEnd"/>
      <w:r>
        <w:rPr>
          <w:rFonts w:ascii="Calibri" w:hAnsi="Calibri" w:cs="Calibri"/>
          <w:sz w:val="24"/>
          <w:szCs w:val="24"/>
        </w:rPr>
        <w:t>.</w:t>
      </w:r>
      <w:proofErr w:type="gramEnd"/>
      <w:r w:rsidRPr="008A6C23">
        <w:rPr>
          <w:rFonts w:ascii="Calibri" w:hAnsi="Calibri" w:cs="Calibri"/>
          <w:sz w:val="24"/>
          <w:szCs w:val="24"/>
        </w:rPr>
        <w:t xml:space="preserve"> &amp; </w:t>
      </w:r>
      <w:proofErr w:type="spellStart"/>
      <w:r w:rsidRPr="008A6C23">
        <w:rPr>
          <w:rFonts w:ascii="Calibri" w:hAnsi="Calibri" w:cs="Calibri"/>
          <w:sz w:val="24"/>
          <w:szCs w:val="24"/>
        </w:rPr>
        <w:t>Rani</w:t>
      </w:r>
      <w:r>
        <w:rPr>
          <w:rFonts w:ascii="Calibri" w:hAnsi="Calibri" w:cs="Calibri"/>
          <w:sz w:val="24"/>
          <w:szCs w:val="24"/>
        </w:rPr>
        <w:t>,N</w:t>
      </w:r>
      <w:proofErr w:type="spellEnd"/>
      <w:r w:rsidRPr="008A6C23">
        <w:rPr>
          <w:rFonts w:ascii="Calibri" w:hAnsi="Calibri" w:cs="Calibri"/>
          <w:sz w:val="24"/>
          <w:szCs w:val="24"/>
        </w:rPr>
        <w:t xml:space="preserve">. (2022). </w:t>
      </w:r>
      <w:proofErr w:type="spellStart"/>
      <w:r w:rsidRPr="008A6C23">
        <w:rPr>
          <w:rFonts w:ascii="Calibri" w:hAnsi="Calibri" w:cs="Calibri"/>
          <w:sz w:val="24"/>
          <w:szCs w:val="24"/>
        </w:rPr>
        <w:t>Persekitaran</w:t>
      </w:r>
      <w:proofErr w:type="spellEnd"/>
      <w:r w:rsidRPr="008A6C23">
        <w:rPr>
          <w:rFonts w:ascii="Calibri" w:hAnsi="Calibri" w:cs="Calibri"/>
          <w:sz w:val="24"/>
          <w:szCs w:val="24"/>
        </w:rPr>
        <w:t xml:space="preserve"> Bahasa dan </w:t>
      </w:r>
      <w:proofErr w:type="spellStart"/>
      <w:r w:rsidRPr="008A6C23">
        <w:rPr>
          <w:rFonts w:ascii="Calibri" w:hAnsi="Calibri" w:cs="Calibri"/>
          <w:sz w:val="24"/>
          <w:szCs w:val="24"/>
        </w:rPr>
        <w:t>Keterlibatan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Pelajar</w:t>
      </w:r>
      <w:proofErr w:type="spellEnd"/>
      <w:r w:rsidRPr="008A6C23">
        <w:rPr>
          <w:rFonts w:ascii="Calibri" w:hAnsi="Calibri" w:cs="Calibri"/>
          <w:sz w:val="24"/>
          <w:szCs w:val="24"/>
        </w:rPr>
        <w:t xml:space="preserve"> SABK Selangor Dalam </w:t>
      </w:r>
      <w:proofErr w:type="spellStart"/>
      <w:r w:rsidRPr="008A6C23">
        <w:rPr>
          <w:rFonts w:ascii="Calibri" w:hAnsi="Calibri" w:cs="Calibri"/>
          <w:sz w:val="24"/>
          <w:szCs w:val="24"/>
        </w:rPr>
        <w:t>Pembelajaran</w:t>
      </w:r>
      <w:proofErr w:type="spellEnd"/>
      <w:r w:rsidRPr="008A6C23">
        <w:rPr>
          <w:rFonts w:ascii="Calibri" w:hAnsi="Calibri" w:cs="Calibri"/>
          <w:sz w:val="24"/>
          <w:szCs w:val="24"/>
        </w:rPr>
        <w:t xml:space="preserve"> Bahasa Arab. </w:t>
      </w:r>
      <w:proofErr w:type="spellStart"/>
      <w:r w:rsidRPr="008A6C23">
        <w:rPr>
          <w:rFonts w:ascii="Calibri" w:hAnsi="Calibri" w:cs="Calibri"/>
          <w:sz w:val="24"/>
          <w:szCs w:val="24"/>
        </w:rPr>
        <w:t>Akademika</w:t>
      </w:r>
      <w:proofErr w:type="spellEnd"/>
      <w:r w:rsidRPr="008A6C23">
        <w:rPr>
          <w:rFonts w:ascii="Calibri" w:hAnsi="Calibri" w:cs="Calibri"/>
          <w:sz w:val="24"/>
          <w:szCs w:val="24"/>
        </w:rPr>
        <w:t xml:space="preserve"> 92(</w:t>
      </w:r>
      <w:proofErr w:type="spellStart"/>
      <w:r w:rsidRPr="008A6C23">
        <w:rPr>
          <w:rFonts w:ascii="Calibri" w:hAnsi="Calibri" w:cs="Calibri"/>
          <w:sz w:val="24"/>
          <w:szCs w:val="24"/>
        </w:rPr>
        <w:t>Isu</w:t>
      </w:r>
      <w:proofErr w:type="spellEnd"/>
      <w:r w:rsidRPr="008A6C23">
        <w:rPr>
          <w:rFonts w:ascii="Calibri" w:hAnsi="Calibri" w:cs="Calibri"/>
          <w:sz w:val="24"/>
          <w:szCs w:val="24"/>
        </w:rPr>
        <w:t xml:space="preserve"> Khas), 151-162.</w:t>
      </w:r>
    </w:p>
    <w:p w14:paraId="3BEB6F34" w14:textId="2F187AC1" w:rsidR="008C0665" w:rsidRDefault="008C0665" w:rsidP="008C0665">
      <w:pPr>
        <w:spacing w:after="0" w:line="240" w:lineRule="auto"/>
        <w:ind w:left="567" w:hanging="567"/>
        <w:jc w:val="both"/>
        <w:rPr>
          <w:rFonts w:ascii="Calibri" w:hAnsi="Calibri" w:cs="Calibri"/>
          <w:sz w:val="24"/>
          <w:szCs w:val="24"/>
        </w:rPr>
      </w:pPr>
      <w:r w:rsidRPr="002543FA">
        <w:rPr>
          <w:rFonts w:ascii="Calibri" w:hAnsi="Calibri" w:cs="Calibri"/>
          <w:sz w:val="24"/>
          <w:szCs w:val="24"/>
        </w:rPr>
        <w:t xml:space="preserve">Sayed </w:t>
      </w:r>
      <w:proofErr w:type="gramStart"/>
      <w:r w:rsidRPr="002543FA">
        <w:rPr>
          <w:rFonts w:ascii="Calibri" w:hAnsi="Calibri" w:cs="Calibri"/>
          <w:sz w:val="24"/>
          <w:szCs w:val="24"/>
        </w:rPr>
        <w:t>Ahmad ,</w:t>
      </w:r>
      <w:proofErr w:type="gramEnd"/>
      <w:r w:rsidRPr="002543FA">
        <w:rPr>
          <w:rFonts w:ascii="Calibri" w:hAnsi="Calibri" w:cs="Calibri"/>
          <w:sz w:val="24"/>
          <w:szCs w:val="24"/>
        </w:rPr>
        <w:t xml:space="preserve"> S. M. </w:t>
      </w:r>
      <w:r w:rsidRPr="008A6C23">
        <w:rPr>
          <w:rFonts w:ascii="Calibri" w:hAnsi="Calibri" w:cs="Calibri"/>
          <w:sz w:val="24"/>
          <w:szCs w:val="24"/>
        </w:rPr>
        <w:t xml:space="preserve">&amp; </w:t>
      </w:r>
      <w:r w:rsidRPr="00CE0C58">
        <w:rPr>
          <w:rFonts w:ascii="Calibri" w:hAnsi="Calibri" w:cs="Calibri"/>
          <w:sz w:val="24"/>
          <w:szCs w:val="24"/>
        </w:rPr>
        <w:t>Mustaffa, F.</w:t>
      </w:r>
      <w:r w:rsidRPr="008A6C23">
        <w:rPr>
          <w:rFonts w:ascii="Calibri" w:hAnsi="Calibri" w:cs="Calibri"/>
          <w:sz w:val="24"/>
          <w:szCs w:val="24"/>
        </w:rPr>
        <w:t xml:space="preserve">. (2009). Kemahiran </w:t>
      </w:r>
      <w:proofErr w:type="spellStart"/>
      <w:r w:rsidRPr="008A6C23">
        <w:rPr>
          <w:rFonts w:ascii="Calibri" w:hAnsi="Calibri" w:cs="Calibri"/>
          <w:sz w:val="24"/>
          <w:szCs w:val="24"/>
        </w:rPr>
        <w:t>Berkomunikasi</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Secara</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Berkesan</w:t>
      </w:r>
      <w:proofErr w:type="spellEnd"/>
      <w:r w:rsidRPr="008A6C23">
        <w:rPr>
          <w:rFonts w:ascii="Calibri" w:hAnsi="Calibri" w:cs="Calibri"/>
          <w:sz w:val="24"/>
          <w:szCs w:val="24"/>
        </w:rPr>
        <w:t xml:space="preserve"> Dalam </w:t>
      </w:r>
      <w:proofErr w:type="spellStart"/>
      <w:r w:rsidRPr="008A6C23">
        <w:rPr>
          <w:rFonts w:ascii="Calibri" w:hAnsi="Calibri" w:cs="Calibri"/>
          <w:sz w:val="24"/>
          <w:szCs w:val="24"/>
        </w:rPr>
        <w:t>Kalangan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Pelajar</w:t>
      </w:r>
      <w:proofErr w:type="spellEnd"/>
      <w:r w:rsidRPr="008A6C23">
        <w:rPr>
          <w:rFonts w:ascii="Calibri" w:hAnsi="Calibri" w:cs="Calibri"/>
          <w:sz w:val="24"/>
          <w:szCs w:val="24"/>
        </w:rPr>
        <w:t xml:space="preserve"> Sarjana Muda Sains Serta Pendidikan (</w:t>
      </w:r>
      <w:proofErr w:type="spellStart"/>
      <w:r w:rsidRPr="008A6C23">
        <w:rPr>
          <w:rFonts w:ascii="Calibri" w:hAnsi="Calibri" w:cs="Calibri"/>
          <w:sz w:val="24"/>
          <w:szCs w:val="24"/>
        </w:rPr>
        <w:t>Pengajian</w:t>
      </w:r>
      <w:proofErr w:type="spellEnd"/>
      <w:r w:rsidRPr="008A6C23">
        <w:rPr>
          <w:rFonts w:ascii="Calibri" w:hAnsi="Calibri" w:cs="Calibri"/>
          <w:sz w:val="24"/>
          <w:szCs w:val="24"/>
        </w:rPr>
        <w:t xml:space="preserve"> Islam).</w:t>
      </w:r>
    </w:p>
    <w:p w14:paraId="4850118F" w14:textId="5B3C85F2" w:rsidR="008A6C23" w:rsidRPr="008A6C23" w:rsidRDefault="008A6C23" w:rsidP="008A6C23">
      <w:pPr>
        <w:spacing w:after="0" w:line="240" w:lineRule="auto"/>
        <w:ind w:left="567" w:hanging="567"/>
        <w:jc w:val="both"/>
        <w:rPr>
          <w:rFonts w:ascii="Calibri" w:hAnsi="Calibri" w:cs="Calibri"/>
          <w:sz w:val="24"/>
          <w:szCs w:val="24"/>
        </w:rPr>
      </w:pPr>
      <w:proofErr w:type="spellStart"/>
      <w:proofErr w:type="gramStart"/>
      <w:r w:rsidRPr="008A6C23">
        <w:rPr>
          <w:rFonts w:ascii="Calibri" w:hAnsi="Calibri" w:cs="Calibri"/>
          <w:sz w:val="24"/>
          <w:szCs w:val="24"/>
        </w:rPr>
        <w:t>Sopian</w:t>
      </w:r>
      <w:r w:rsidR="00171EBB">
        <w:rPr>
          <w:rFonts w:ascii="Calibri" w:hAnsi="Calibri" w:cs="Calibri"/>
          <w:sz w:val="24"/>
          <w:szCs w:val="24"/>
        </w:rPr>
        <w:t>,A</w:t>
      </w:r>
      <w:proofErr w:type="spellEnd"/>
      <w:r w:rsidRPr="008A6C23">
        <w:rPr>
          <w:rFonts w:ascii="Calibri" w:hAnsi="Calibri" w:cs="Calibri"/>
          <w:sz w:val="24"/>
          <w:szCs w:val="24"/>
        </w:rPr>
        <w:t>.</w:t>
      </w:r>
      <w:proofErr w:type="gramEnd"/>
      <w:r w:rsidRPr="008A6C23">
        <w:rPr>
          <w:rFonts w:ascii="Calibri" w:hAnsi="Calibri" w:cs="Calibri"/>
          <w:sz w:val="24"/>
          <w:szCs w:val="24"/>
        </w:rPr>
        <w:t xml:space="preserve"> (2016). </w:t>
      </w:r>
      <w:proofErr w:type="spellStart"/>
      <w:r w:rsidRPr="008A6C23">
        <w:rPr>
          <w:rFonts w:ascii="Calibri" w:hAnsi="Calibri" w:cs="Calibri"/>
          <w:sz w:val="24"/>
          <w:szCs w:val="24"/>
        </w:rPr>
        <w:t>Tahap</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Pertuturan</w:t>
      </w:r>
      <w:proofErr w:type="spellEnd"/>
      <w:r w:rsidRPr="008A6C23">
        <w:rPr>
          <w:rFonts w:ascii="Calibri" w:hAnsi="Calibri" w:cs="Calibri"/>
          <w:sz w:val="24"/>
          <w:szCs w:val="24"/>
        </w:rPr>
        <w:t xml:space="preserve"> Bahasa Arab </w:t>
      </w:r>
      <w:proofErr w:type="spellStart"/>
      <w:r w:rsidRPr="008A6C23">
        <w:rPr>
          <w:rFonts w:ascii="Calibri" w:hAnsi="Calibri" w:cs="Calibri"/>
          <w:sz w:val="24"/>
          <w:szCs w:val="24"/>
        </w:rPr>
        <w:t>dalam</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Kalangan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Pelajar</w:t>
      </w:r>
      <w:proofErr w:type="spellEnd"/>
      <w:r w:rsidRPr="008A6C23">
        <w:rPr>
          <w:rFonts w:ascii="Calibri" w:hAnsi="Calibri" w:cs="Calibri"/>
          <w:sz w:val="24"/>
          <w:szCs w:val="24"/>
        </w:rPr>
        <w:t xml:space="preserve"> yang </w:t>
      </w:r>
      <w:proofErr w:type="spellStart"/>
      <w:r w:rsidRPr="008A6C23">
        <w:rPr>
          <w:rFonts w:ascii="Calibri" w:hAnsi="Calibri" w:cs="Calibri"/>
          <w:sz w:val="24"/>
          <w:szCs w:val="24"/>
        </w:rPr>
        <w:t>Mengambil</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Kursus</w:t>
      </w:r>
      <w:proofErr w:type="spellEnd"/>
      <w:r w:rsidRPr="008A6C23">
        <w:rPr>
          <w:rFonts w:ascii="Calibri" w:hAnsi="Calibri" w:cs="Calibri"/>
          <w:sz w:val="24"/>
          <w:szCs w:val="24"/>
        </w:rPr>
        <w:t xml:space="preserve"> Bahasa Arab di UITM Melaka. the 3 International Conference on Arabic Studies and Islamic Civilization ICASIC</w:t>
      </w:r>
      <w:proofErr w:type="gramStart"/>
      <w:r w:rsidRPr="008A6C23">
        <w:rPr>
          <w:rFonts w:ascii="Calibri" w:hAnsi="Calibri" w:cs="Calibri"/>
          <w:sz w:val="24"/>
          <w:szCs w:val="24"/>
        </w:rPr>
        <w:t>2016 ,</w:t>
      </w:r>
      <w:proofErr w:type="gramEnd"/>
      <w:r w:rsidRPr="008A6C23">
        <w:rPr>
          <w:rFonts w:ascii="Calibri" w:hAnsi="Calibri" w:cs="Calibri"/>
          <w:sz w:val="24"/>
          <w:szCs w:val="24"/>
        </w:rPr>
        <w:t xml:space="preserve"> (pp. 174-187). Kuala Lumpur.</w:t>
      </w:r>
    </w:p>
    <w:p w14:paraId="4D2B3494" w14:textId="77777777" w:rsidR="008C0665" w:rsidRPr="008A6C23" w:rsidRDefault="008C0665" w:rsidP="008C0665">
      <w:pPr>
        <w:spacing w:after="0" w:line="240" w:lineRule="auto"/>
        <w:ind w:left="567" w:hanging="567"/>
        <w:jc w:val="both"/>
        <w:rPr>
          <w:rFonts w:ascii="Calibri" w:hAnsi="Calibri" w:cs="Calibri"/>
          <w:sz w:val="24"/>
          <w:szCs w:val="24"/>
        </w:rPr>
      </w:pPr>
      <w:proofErr w:type="gramStart"/>
      <w:r w:rsidRPr="00CE0C58">
        <w:rPr>
          <w:rFonts w:ascii="Calibri" w:hAnsi="Calibri" w:cs="Calibri"/>
          <w:sz w:val="24"/>
          <w:szCs w:val="24"/>
        </w:rPr>
        <w:t>Yaacob ,</w:t>
      </w:r>
      <w:proofErr w:type="gramEnd"/>
      <w:r w:rsidRPr="00CE0C58">
        <w:rPr>
          <w:rFonts w:ascii="Calibri" w:hAnsi="Calibri" w:cs="Calibri"/>
          <w:sz w:val="24"/>
          <w:szCs w:val="24"/>
        </w:rPr>
        <w:t xml:space="preserve"> M. </w:t>
      </w:r>
      <w:r w:rsidRPr="008A6C23">
        <w:rPr>
          <w:rFonts w:ascii="Calibri" w:hAnsi="Calibri" w:cs="Calibri"/>
          <w:sz w:val="24"/>
          <w:szCs w:val="24"/>
        </w:rPr>
        <w:t xml:space="preserve">&amp; </w:t>
      </w:r>
      <w:r w:rsidRPr="00CE0C58">
        <w:rPr>
          <w:rFonts w:ascii="Calibri" w:hAnsi="Calibri" w:cs="Calibri"/>
          <w:sz w:val="24"/>
          <w:szCs w:val="24"/>
        </w:rPr>
        <w:t>Abu Bakar, K</w:t>
      </w:r>
      <w:r w:rsidRPr="008A6C23">
        <w:rPr>
          <w:rFonts w:ascii="Calibri" w:hAnsi="Calibri" w:cs="Calibri"/>
          <w:sz w:val="24"/>
          <w:szCs w:val="24"/>
        </w:rPr>
        <w:t xml:space="preserve">. (2018). </w:t>
      </w:r>
      <w:proofErr w:type="spellStart"/>
      <w:r w:rsidRPr="008A6C23">
        <w:rPr>
          <w:rFonts w:ascii="Calibri" w:hAnsi="Calibri" w:cs="Calibri"/>
          <w:sz w:val="24"/>
          <w:szCs w:val="24"/>
        </w:rPr>
        <w:t>Tinjauan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literatur</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pengajaran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kemahiran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bertutur</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bahasa</w:t>
      </w:r>
      <w:proofErr w:type="spellEnd"/>
      <w:r w:rsidRPr="008A6C23">
        <w:rPr>
          <w:rFonts w:ascii="Calibri" w:hAnsi="Calibri" w:cs="Calibri"/>
          <w:sz w:val="24"/>
          <w:szCs w:val="24"/>
        </w:rPr>
        <w:t xml:space="preserve"> Arab. BITARA International Journal of Civilizational Studies and Human Sciences 1(2), 15-25.</w:t>
      </w:r>
    </w:p>
    <w:p w14:paraId="42BE6DAC" w14:textId="62197050" w:rsidR="008A6C23" w:rsidRPr="008A6C23" w:rsidRDefault="008A6C23" w:rsidP="008A6C23">
      <w:pPr>
        <w:spacing w:after="0" w:line="240" w:lineRule="auto"/>
        <w:ind w:left="567" w:hanging="567"/>
        <w:jc w:val="both"/>
        <w:rPr>
          <w:rFonts w:ascii="Calibri" w:hAnsi="Calibri" w:cs="Calibri"/>
          <w:sz w:val="24"/>
          <w:szCs w:val="24"/>
        </w:rPr>
      </w:pPr>
      <w:proofErr w:type="spellStart"/>
      <w:proofErr w:type="gramStart"/>
      <w:r w:rsidRPr="008A6C23">
        <w:rPr>
          <w:rFonts w:ascii="Calibri" w:hAnsi="Calibri" w:cs="Calibri"/>
          <w:sz w:val="24"/>
          <w:szCs w:val="24"/>
        </w:rPr>
        <w:t>Yahaya</w:t>
      </w:r>
      <w:r w:rsidR="00171EBB">
        <w:rPr>
          <w:rFonts w:ascii="Calibri" w:hAnsi="Calibri" w:cs="Calibri"/>
          <w:sz w:val="24"/>
          <w:szCs w:val="24"/>
        </w:rPr>
        <w:t>,A</w:t>
      </w:r>
      <w:proofErr w:type="spellEnd"/>
      <w:r w:rsidR="00171EBB">
        <w:rPr>
          <w:rFonts w:ascii="Calibri" w:hAnsi="Calibri" w:cs="Calibri"/>
          <w:sz w:val="24"/>
          <w:szCs w:val="24"/>
        </w:rPr>
        <w:t>.</w:t>
      </w:r>
      <w:proofErr w:type="gramEnd"/>
      <w:r w:rsidRPr="008A6C23">
        <w:rPr>
          <w:rFonts w:ascii="Calibri" w:hAnsi="Calibri" w:cs="Calibri"/>
          <w:sz w:val="24"/>
          <w:szCs w:val="24"/>
        </w:rPr>
        <w:t xml:space="preserve"> Ramli</w:t>
      </w:r>
      <w:r w:rsidR="00171EBB">
        <w:rPr>
          <w:rFonts w:ascii="Calibri" w:hAnsi="Calibri" w:cs="Calibri"/>
          <w:sz w:val="24"/>
          <w:szCs w:val="24"/>
        </w:rPr>
        <w:t>, J.</w:t>
      </w:r>
      <w:r w:rsidRPr="008A6C23">
        <w:rPr>
          <w:rFonts w:ascii="Calibri" w:hAnsi="Calibri" w:cs="Calibri"/>
          <w:sz w:val="24"/>
          <w:szCs w:val="24"/>
        </w:rPr>
        <w:t xml:space="preserve"> &amp; Boon</w:t>
      </w:r>
      <w:r w:rsidR="00171EBB">
        <w:rPr>
          <w:rFonts w:ascii="Calibri" w:hAnsi="Calibri" w:cs="Calibri"/>
          <w:sz w:val="24"/>
          <w:szCs w:val="24"/>
        </w:rPr>
        <w:t>, Y</w:t>
      </w:r>
      <w:r w:rsidRPr="008A6C23">
        <w:rPr>
          <w:rFonts w:ascii="Calibri" w:hAnsi="Calibri" w:cs="Calibri"/>
          <w:sz w:val="24"/>
          <w:szCs w:val="24"/>
        </w:rPr>
        <w:t xml:space="preserve">. (2007). </w:t>
      </w:r>
      <w:proofErr w:type="spellStart"/>
      <w:r w:rsidRPr="008A6C23">
        <w:rPr>
          <w:rFonts w:ascii="Calibri" w:hAnsi="Calibri" w:cs="Calibri"/>
          <w:sz w:val="24"/>
          <w:szCs w:val="24"/>
        </w:rPr>
        <w:t>Sumbangan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Sikap</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Terhadap</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Pencapaian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Pelajar</w:t>
      </w:r>
      <w:proofErr w:type="spellEnd"/>
      <w:r w:rsidRPr="008A6C23">
        <w:rPr>
          <w:rFonts w:ascii="Calibri" w:hAnsi="Calibri" w:cs="Calibri"/>
          <w:sz w:val="24"/>
          <w:szCs w:val="24"/>
        </w:rPr>
        <w:t xml:space="preserve"> Dalam Mata Pelajaran </w:t>
      </w:r>
      <w:proofErr w:type="spellStart"/>
      <w:r w:rsidRPr="008A6C23">
        <w:rPr>
          <w:rFonts w:ascii="Calibri" w:hAnsi="Calibri" w:cs="Calibri"/>
          <w:sz w:val="24"/>
          <w:szCs w:val="24"/>
        </w:rPr>
        <w:t>Matematik</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Sejauhmanakah</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Hubungan</w:t>
      </w:r>
      <w:proofErr w:type="spellEnd"/>
      <w:r w:rsidRPr="008A6C23">
        <w:rPr>
          <w:rFonts w:ascii="Calibri" w:hAnsi="Calibri" w:cs="Calibri"/>
          <w:sz w:val="24"/>
          <w:szCs w:val="24"/>
        </w:rPr>
        <w:t xml:space="preserve"> Ini </w:t>
      </w:r>
      <w:proofErr w:type="spellStart"/>
      <w:r w:rsidRPr="008A6C23">
        <w:rPr>
          <w:rFonts w:ascii="Calibri" w:hAnsi="Calibri" w:cs="Calibri"/>
          <w:sz w:val="24"/>
          <w:szCs w:val="24"/>
        </w:rPr>
        <w:t>Relevan</w:t>
      </w:r>
      <w:proofErr w:type="spellEnd"/>
      <w:r w:rsidRPr="008A6C23">
        <w:rPr>
          <w:rFonts w:ascii="Calibri" w:hAnsi="Calibri" w:cs="Calibri"/>
          <w:sz w:val="24"/>
          <w:szCs w:val="24"/>
        </w:rPr>
        <w:t>?</w:t>
      </w:r>
    </w:p>
    <w:p w14:paraId="09547FC2" w14:textId="77777777" w:rsidR="008C0665" w:rsidRPr="008A6C23" w:rsidRDefault="008C0665" w:rsidP="008C0665">
      <w:pPr>
        <w:spacing w:after="0" w:line="240" w:lineRule="auto"/>
        <w:ind w:left="567" w:hanging="567"/>
        <w:jc w:val="both"/>
        <w:rPr>
          <w:rFonts w:ascii="Calibri" w:hAnsi="Calibri" w:cs="Calibri"/>
          <w:sz w:val="24"/>
          <w:szCs w:val="24"/>
        </w:rPr>
      </w:pPr>
      <w:proofErr w:type="spellStart"/>
      <w:proofErr w:type="gramStart"/>
      <w:r w:rsidRPr="008A6C23">
        <w:rPr>
          <w:rFonts w:ascii="Calibri" w:hAnsi="Calibri" w:cs="Calibri"/>
          <w:sz w:val="24"/>
          <w:szCs w:val="24"/>
        </w:rPr>
        <w:t>Yusof,</w:t>
      </w:r>
      <w:r>
        <w:rPr>
          <w:rFonts w:ascii="Calibri" w:hAnsi="Calibri" w:cs="Calibri"/>
          <w:sz w:val="24"/>
          <w:szCs w:val="24"/>
        </w:rPr>
        <w:t>R</w:t>
      </w:r>
      <w:proofErr w:type="spellEnd"/>
      <w:r>
        <w:rPr>
          <w:rFonts w:ascii="Calibri" w:hAnsi="Calibri" w:cs="Calibri"/>
          <w:sz w:val="24"/>
          <w:szCs w:val="24"/>
        </w:rPr>
        <w:t>.</w:t>
      </w:r>
      <w:proofErr w:type="gramEnd"/>
      <w:r>
        <w:rPr>
          <w:rFonts w:ascii="Calibri" w:hAnsi="Calibri" w:cs="Calibri"/>
          <w:sz w:val="24"/>
          <w:szCs w:val="24"/>
        </w:rPr>
        <w:t xml:space="preserve">, </w:t>
      </w:r>
      <w:r w:rsidRPr="008A6C23">
        <w:rPr>
          <w:rFonts w:ascii="Calibri" w:hAnsi="Calibri" w:cs="Calibri"/>
          <w:sz w:val="24"/>
          <w:szCs w:val="24"/>
        </w:rPr>
        <w:t>Othman</w:t>
      </w:r>
      <w:r>
        <w:rPr>
          <w:rFonts w:ascii="Calibri" w:hAnsi="Calibri" w:cs="Calibri"/>
          <w:sz w:val="24"/>
          <w:szCs w:val="24"/>
        </w:rPr>
        <w:t>., N.</w:t>
      </w:r>
      <w:r w:rsidRPr="008A6C23">
        <w:rPr>
          <w:rFonts w:ascii="Calibri" w:hAnsi="Calibri" w:cs="Calibri"/>
          <w:sz w:val="24"/>
          <w:szCs w:val="24"/>
        </w:rPr>
        <w:t>&amp; Karim.</w:t>
      </w:r>
      <w:r>
        <w:rPr>
          <w:rFonts w:ascii="Calibri" w:hAnsi="Calibri" w:cs="Calibri"/>
          <w:sz w:val="24"/>
          <w:szCs w:val="24"/>
        </w:rPr>
        <w:t>, F</w:t>
      </w:r>
      <w:r w:rsidRPr="008A6C23">
        <w:rPr>
          <w:rFonts w:ascii="Calibri" w:hAnsi="Calibri" w:cs="Calibri"/>
          <w:sz w:val="24"/>
          <w:szCs w:val="24"/>
        </w:rPr>
        <w:t xml:space="preserve"> (2005). Strategi </w:t>
      </w:r>
      <w:proofErr w:type="spellStart"/>
      <w:r w:rsidRPr="008A6C23">
        <w:rPr>
          <w:rFonts w:ascii="Calibri" w:hAnsi="Calibri" w:cs="Calibri"/>
          <w:sz w:val="24"/>
          <w:szCs w:val="24"/>
        </w:rPr>
        <w:t>Pembelajaran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Pengalaman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Berasaskan</w:t>
      </w:r>
      <w:proofErr w:type="spellEnd"/>
      <w:r w:rsidRPr="008A6C23">
        <w:rPr>
          <w:rFonts w:ascii="Calibri" w:hAnsi="Calibri" w:cs="Calibri"/>
          <w:sz w:val="24"/>
          <w:szCs w:val="24"/>
        </w:rPr>
        <w:t xml:space="preserve"> Model Kolb </w:t>
      </w:r>
      <w:proofErr w:type="spellStart"/>
      <w:r w:rsidRPr="008A6C23">
        <w:rPr>
          <w:rFonts w:ascii="Calibri" w:hAnsi="Calibri" w:cs="Calibri"/>
          <w:sz w:val="24"/>
          <w:szCs w:val="24"/>
        </w:rPr>
        <w:t>dalam</w:t>
      </w:r>
      <w:proofErr w:type="spellEnd"/>
      <w:r w:rsidRPr="008A6C23">
        <w:rPr>
          <w:rFonts w:ascii="Calibri" w:hAnsi="Calibri" w:cs="Calibri"/>
          <w:sz w:val="24"/>
          <w:szCs w:val="24"/>
        </w:rPr>
        <w:t xml:space="preserve"> Pendidikan </w:t>
      </w:r>
      <w:proofErr w:type="spellStart"/>
      <w:r w:rsidRPr="008A6C23">
        <w:rPr>
          <w:rFonts w:ascii="Calibri" w:hAnsi="Calibri" w:cs="Calibri"/>
          <w:sz w:val="24"/>
          <w:szCs w:val="24"/>
        </w:rPr>
        <w:t>Perakaunan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Jurnal</w:t>
      </w:r>
      <w:proofErr w:type="spellEnd"/>
      <w:r w:rsidRPr="008A6C23">
        <w:rPr>
          <w:rFonts w:ascii="Calibri" w:hAnsi="Calibri" w:cs="Calibri"/>
          <w:sz w:val="24"/>
          <w:szCs w:val="24"/>
        </w:rPr>
        <w:t xml:space="preserve"> Pendidikan 30, 113-128.</w:t>
      </w:r>
    </w:p>
    <w:p w14:paraId="17EDDF33" w14:textId="445E6AF3" w:rsidR="008A6C23" w:rsidRPr="008A6C23" w:rsidRDefault="008A6C23" w:rsidP="008A6C23">
      <w:pPr>
        <w:spacing w:after="0" w:line="240" w:lineRule="auto"/>
        <w:ind w:left="567" w:hanging="567"/>
        <w:jc w:val="both"/>
        <w:rPr>
          <w:rFonts w:ascii="Calibri" w:hAnsi="Calibri" w:cs="Calibri"/>
          <w:sz w:val="24"/>
          <w:szCs w:val="24"/>
        </w:rPr>
      </w:pPr>
      <w:r w:rsidRPr="008A6C23">
        <w:rPr>
          <w:rFonts w:ascii="Calibri" w:hAnsi="Calibri" w:cs="Calibri"/>
          <w:sz w:val="24"/>
          <w:szCs w:val="24"/>
        </w:rPr>
        <w:t>Yusri</w:t>
      </w:r>
      <w:r w:rsidR="002543FA">
        <w:rPr>
          <w:rFonts w:ascii="Calibri" w:hAnsi="Calibri" w:cs="Calibri"/>
          <w:sz w:val="24"/>
          <w:szCs w:val="24"/>
        </w:rPr>
        <w:t>, G.</w:t>
      </w:r>
      <w:r w:rsidRPr="008A6C23">
        <w:rPr>
          <w:rFonts w:ascii="Calibri" w:hAnsi="Calibri" w:cs="Calibri"/>
          <w:sz w:val="24"/>
          <w:szCs w:val="24"/>
        </w:rPr>
        <w:t xml:space="preserve">, Nik Mohd Rahimi, </w:t>
      </w:r>
      <w:proofErr w:type="spellStart"/>
      <w:r w:rsidRPr="008A6C23">
        <w:rPr>
          <w:rFonts w:ascii="Calibri" w:hAnsi="Calibri" w:cs="Calibri"/>
          <w:sz w:val="24"/>
          <w:szCs w:val="24"/>
        </w:rPr>
        <w:t>Parilah</w:t>
      </w:r>
      <w:proofErr w:type="spellEnd"/>
      <w:r w:rsidRPr="008A6C23">
        <w:rPr>
          <w:rFonts w:ascii="Calibri" w:hAnsi="Calibri" w:cs="Calibri"/>
          <w:sz w:val="24"/>
          <w:szCs w:val="24"/>
        </w:rPr>
        <w:t xml:space="preserve"> M. Shah, </w:t>
      </w:r>
      <w:proofErr w:type="gramStart"/>
      <w:r w:rsidR="00CE0C58" w:rsidRPr="00CE0C58">
        <w:rPr>
          <w:rFonts w:ascii="Calibri" w:hAnsi="Calibri" w:cs="Calibri"/>
          <w:sz w:val="24"/>
          <w:szCs w:val="24"/>
        </w:rPr>
        <w:t>Wah ,</w:t>
      </w:r>
      <w:proofErr w:type="gramEnd"/>
      <w:r w:rsidR="00CE0C58" w:rsidRPr="00CE0C58">
        <w:rPr>
          <w:rFonts w:ascii="Calibri" w:hAnsi="Calibri" w:cs="Calibri"/>
          <w:sz w:val="24"/>
          <w:szCs w:val="24"/>
        </w:rPr>
        <w:t xml:space="preserve"> W. H.</w:t>
      </w:r>
      <w:r w:rsidR="00CE0C58" w:rsidRPr="00CE0C58">
        <w:rPr>
          <w:rFonts w:ascii="Calibri" w:hAnsi="Calibri" w:cs="Calibri"/>
          <w:sz w:val="24"/>
          <w:szCs w:val="24"/>
        </w:rPr>
        <w:t xml:space="preserve"> </w:t>
      </w:r>
      <w:r w:rsidRPr="008A6C23">
        <w:rPr>
          <w:rFonts w:ascii="Calibri" w:hAnsi="Calibri" w:cs="Calibri"/>
          <w:sz w:val="24"/>
          <w:szCs w:val="24"/>
        </w:rPr>
        <w:t xml:space="preserve">&amp; </w:t>
      </w:r>
      <w:r w:rsidR="00CE0C58" w:rsidRPr="00CE0C58">
        <w:rPr>
          <w:rFonts w:ascii="Calibri" w:hAnsi="Calibri" w:cs="Calibri"/>
          <w:sz w:val="24"/>
          <w:szCs w:val="24"/>
        </w:rPr>
        <w:t xml:space="preserve">Ahmed </w:t>
      </w:r>
      <w:proofErr w:type="spellStart"/>
      <w:r w:rsidR="00CE0C58" w:rsidRPr="00CE0C58">
        <w:rPr>
          <w:rFonts w:ascii="Calibri" w:hAnsi="Calibri" w:cs="Calibri"/>
          <w:sz w:val="24"/>
          <w:szCs w:val="24"/>
        </w:rPr>
        <w:t>Thalal</w:t>
      </w:r>
      <w:proofErr w:type="spellEnd"/>
      <w:r w:rsidR="00CE0C58" w:rsidRPr="00CE0C58">
        <w:rPr>
          <w:rFonts w:ascii="Calibri" w:hAnsi="Calibri" w:cs="Calibri"/>
          <w:sz w:val="24"/>
          <w:szCs w:val="24"/>
        </w:rPr>
        <w:t xml:space="preserve"> Hassan</w:t>
      </w:r>
      <w:r w:rsidR="00CE0C58">
        <w:rPr>
          <w:rFonts w:ascii="Calibri" w:hAnsi="Calibri" w:cs="Calibri"/>
          <w:sz w:val="24"/>
          <w:szCs w:val="24"/>
        </w:rPr>
        <w:t>.</w:t>
      </w:r>
      <w:r w:rsidRPr="008A6C23">
        <w:rPr>
          <w:rFonts w:ascii="Calibri" w:hAnsi="Calibri" w:cs="Calibri"/>
          <w:sz w:val="24"/>
          <w:szCs w:val="24"/>
        </w:rPr>
        <w:t xml:space="preserve"> (2011). </w:t>
      </w:r>
      <w:proofErr w:type="spellStart"/>
      <w:r w:rsidRPr="008A6C23">
        <w:rPr>
          <w:rFonts w:ascii="Calibri" w:hAnsi="Calibri" w:cs="Calibri"/>
          <w:sz w:val="24"/>
          <w:szCs w:val="24"/>
        </w:rPr>
        <w:t>Kepercayaan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Jangkaan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Keupayaan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Kendiri</w:t>
      </w:r>
      <w:proofErr w:type="spellEnd"/>
      <w:r w:rsidRPr="008A6C23">
        <w:rPr>
          <w:rFonts w:ascii="Calibri" w:hAnsi="Calibri" w:cs="Calibri"/>
          <w:sz w:val="24"/>
          <w:szCs w:val="24"/>
        </w:rPr>
        <w:t xml:space="preserve"> Dalam </w:t>
      </w:r>
      <w:proofErr w:type="spellStart"/>
      <w:r w:rsidRPr="008A6C23">
        <w:rPr>
          <w:rFonts w:ascii="Calibri" w:hAnsi="Calibri" w:cs="Calibri"/>
          <w:sz w:val="24"/>
          <w:szCs w:val="24"/>
        </w:rPr>
        <w:t>Kalangan</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Pelajar</w:t>
      </w:r>
      <w:proofErr w:type="spellEnd"/>
      <w:r w:rsidRPr="008A6C23">
        <w:rPr>
          <w:rFonts w:ascii="Calibri" w:hAnsi="Calibri" w:cs="Calibri"/>
          <w:sz w:val="24"/>
          <w:szCs w:val="24"/>
        </w:rPr>
        <w:t xml:space="preserve"> </w:t>
      </w:r>
      <w:proofErr w:type="spellStart"/>
      <w:r w:rsidRPr="008A6C23">
        <w:rPr>
          <w:rFonts w:ascii="Calibri" w:hAnsi="Calibri" w:cs="Calibri"/>
          <w:sz w:val="24"/>
          <w:szCs w:val="24"/>
        </w:rPr>
        <w:t>Kursus</w:t>
      </w:r>
      <w:proofErr w:type="spellEnd"/>
      <w:r w:rsidRPr="008A6C23">
        <w:rPr>
          <w:rFonts w:ascii="Calibri" w:hAnsi="Calibri" w:cs="Calibri"/>
          <w:sz w:val="24"/>
          <w:szCs w:val="24"/>
        </w:rPr>
        <w:t xml:space="preserve"> Bahasa Arab. GEMA Online™ Journal of Language Studies Volume 11(1), 81-96.</w:t>
      </w:r>
    </w:p>
    <w:p w14:paraId="1B9867AB" w14:textId="0C4B4371" w:rsidR="008A6C23" w:rsidRPr="008A6C23" w:rsidRDefault="002543FA" w:rsidP="008A6C23">
      <w:pPr>
        <w:spacing w:after="0" w:line="240" w:lineRule="auto"/>
        <w:ind w:left="567" w:hanging="567"/>
        <w:jc w:val="both"/>
        <w:rPr>
          <w:rFonts w:ascii="Calibri" w:hAnsi="Calibri" w:cs="Calibri"/>
          <w:sz w:val="24"/>
          <w:szCs w:val="24"/>
        </w:rPr>
      </w:pPr>
      <w:r w:rsidRPr="008A6C23">
        <w:rPr>
          <w:rFonts w:ascii="Calibri" w:hAnsi="Calibri" w:cs="Calibri"/>
          <w:sz w:val="24"/>
          <w:szCs w:val="24"/>
        </w:rPr>
        <w:t>Yusri</w:t>
      </w:r>
      <w:r>
        <w:rPr>
          <w:rFonts w:ascii="Calibri" w:hAnsi="Calibri" w:cs="Calibri"/>
          <w:sz w:val="24"/>
          <w:szCs w:val="24"/>
        </w:rPr>
        <w:t>, G</w:t>
      </w:r>
      <w:r w:rsidR="008A6C23" w:rsidRPr="008A6C23">
        <w:rPr>
          <w:rFonts w:ascii="Calibri" w:hAnsi="Calibri" w:cs="Calibri"/>
          <w:sz w:val="24"/>
          <w:szCs w:val="24"/>
        </w:rPr>
        <w:t xml:space="preserve">, Nik Mohd Rahimi, </w:t>
      </w:r>
      <w:proofErr w:type="spellStart"/>
      <w:r w:rsidR="008A6C23" w:rsidRPr="008A6C23">
        <w:rPr>
          <w:rFonts w:ascii="Calibri" w:hAnsi="Calibri" w:cs="Calibri"/>
          <w:sz w:val="24"/>
          <w:szCs w:val="24"/>
        </w:rPr>
        <w:t>Parilah</w:t>
      </w:r>
      <w:proofErr w:type="spellEnd"/>
      <w:r w:rsidR="008A6C23" w:rsidRPr="008A6C23">
        <w:rPr>
          <w:rFonts w:ascii="Calibri" w:hAnsi="Calibri" w:cs="Calibri"/>
          <w:sz w:val="24"/>
          <w:szCs w:val="24"/>
        </w:rPr>
        <w:t xml:space="preserve"> M. Shah, </w:t>
      </w:r>
      <w:proofErr w:type="gramStart"/>
      <w:r w:rsidR="00CE0C58" w:rsidRPr="00CE0C58">
        <w:rPr>
          <w:rFonts w:ascii="Calibri" w:hAnsi="Calibri" w:cs="Calibri"/>
          <w:sz w:val="24"/>
          <w:szCs w:val="24"/>
        </w:rPr>
        <w:t>Wah ,</w:t>
      </w:r>
      <w:proofErr w:type="gramEnd"/>
      <w:r w:rsidR="00CE0C58" w:rsidRPr="00CE0C58">
        <w:rPr>
          <w:rFonts w:ascii="Calibri" w:hAnsi="Calibri" w:cs="Calibri"/>
          <w:sz w:val="24"/>
          <w:szCs w:val="24"/>
        </w:rPr>
        <w:t xml:space="preserve"> W. H. </w:t>
      </w:r>
      <w:r w:rsidR="008A6C23" w:rsidRPr="008A6C23">
        <w:rPr>
          <w:rFonts w:ascii="Calibri" w:hAnsi="Calibri" w:cs="Calibri"/>
          <w:sz w:val="24"/>
          <w:szCs w:val="24"/>
        </w:rPr>
        <w:t xml:space="preserve">&amp; Muhammad Sabri </w:t>
      </w:r>
      <w:proofErr w:type="spellStart"/>
      <w:r w:rsidR="008A6C23" w:rsidRPr="008A6C23">
        <w:rPr>
          <w:rFonts w:ascii="Calibri" w:hAnsi="Calibri" w:cs="Calibri"/>
          <w:sz w:val="24"/>
          <w:szCs w:val="24"/>
        </w:rPr>
        <w:t>Sahrir</w:t>
      </w:r>
      <w:proofErr w:type="spellEnd"/>
      <w:r w:rsidR="008A6C23" w:rsidRPr="008A6C23">
        <w:rPr>
          <w:rFonts w:ascii="Calibri" w:hAnsi="Calibri" w:cs="Calibri"/>
          <w:sz w:val="24"/>
          <w:szCs w:val="24"/>
        </w:rPr>
        <w:t xml:space="preserve">. (2012). </w:t>
      </w:r>
      <w:proofErr w:type="spellStart"/>
      <w:r w:rsidR="008A6C23" w:rsidRPr="008A6C23">
        <w:rPr>
          <w:rFonts w:ascii="Calibri" w:hAnsi="Calibri" w:cs="Calibri"/>
          <w:sz w:val="24"/>
          <w:szCs w:val="24"/>
        </w:rPr>
        <w:t>Penggunaan</w:t>
      </w:r>
      <w:proofErr w:type="spellEnd"/>
      <w:r w:rsidR="008A6C23" w:rsidRPr="008A6C23">
        <w:rPr>
          <w:rFonts w:ascii="Calibri" w:hAnsi="Calibri" w:cs="Calibri"/>
          <w:sz w:val="24"/>
          <w:szCs w:val="24"/>
        </w:rPr>
        <w:t xml:space="preserve"> Bahasa Arab Lisan Dan </w:t>
      </w:r>
      <w:proofErr w:type="spellStart"/>
      <w:r w:rsidR="008A6C23" w:rsidRPr="008A6C23">
        <w:rPr>
          <w:rFonts w:ascii="Calibri" w:hAnsi="Calibri" w:cs="Calibri"/>
          <w:sz w:val="24"/>
          <w:szCs w:val="24"/>
        </w:rPr>
        <w:t>Hubungannya</w:t>
      </w:r>
      <w:proofErr w:type="spellEnd"/>
      <w:r w:rsidR="008A6C23" w:rsidRPr="008A6C23">
        <w:rPr>
          <w:rFonts w:ascii="Calibri" w:hAnsi="Calibri" w:cs="Calibri"/>
          <w:sz w:val="24"/>
          <w:szCs w:val="24"/>
        </w:rPr>
        <w:t xml:space="preserve"> </w:t>
      </w:r>
      <w:proofErr w:type="spellStart"/>
      <w:r w:rsidR="008A6C23" w:rsidRPr="008A6C23">
        <w:rPr>
          <w:rFonts w:ascii="Calibri" w:hAnsi="Calibri" w:cs="Calibri"/>
          <w:sz w:val="24"/>
          <w:szCs w:val="24"/>
        </w:rPr>
        <w:t>Dengan</w:t>
      </w:r>
      <w:proofErr w:type="spellEnd"/>
      <w:r w:rsidR="008A6C23" w:rsidRPr="008A6C23">
        <w:rPr>
          <w:rFonts w:ascii="Calibri" w:hAnsi="Calibri" w:cs="Calibri"/>
          <w:sz w:val="24"/>
          <w:szCs w:val="24"/>
        </w:rPr>
        <w:t xml:space="preserve"> Strategi </w:t>
      </w:r>
      <w:proofErr w:type="spellStart"/>
      <w:r w:rsidR="008A6C23" w:rsidRPr="008A6C23">
        <w:rPr>
          <w:rFonts w:ascii="Calibri" w:hAnsi="Calibri" w:cs="Calibri"/>
          <w:sz w:val="24"/>
          <w:szCs w:val="24"/>
        </w:rPr>
        <w:t>Pengurusan</w:t>
      </w:r>
      <w:proofErr w:type="spellEnd"/>
      <w:r w:rsidR="008A6C23" w:rsidRPr="008A6C23">
        <w:rPr>
          <w:rFonts w:ascii="Calibri" w:hAnsi="Calibri" w:cs="Calibri"/>
          <w:sz w:val="24"/>
          <w:szCs w:val="24"/>
        </w:rPr>
        <w:t xml:space="preserve"> </w:t>
      </w:r>
      <w:proofErr w:type="spellStart"/>
      <w:r w:rsidR="008A6C23" w:rsidRPr="008A6C23">
        <w:rPr>
          <w:rFonts w:ascii="Calibri" w:hAnsi="Calibri" w:cs="Calibri"/>
          <w:sz w:val="24"/>
          <w:szCs w:val="24"/>
        </w:rPr>
        <w:t>Sumber</w:t>
      </w:r>
      <w:proofErr w:type="spellEnd"/>
      <w:r w:rsidR="008A6C23" w:rsidRPr="008A6C23">
        <w:rPr>
          <w:rFonts w:ascii="Calibri" w:hAnsi="Calibri" w:cs="Calibri"/>
          <w:sz w:val="24"/>
          <w:szCs w:val="24"/>
        </w:rPr>
        <w:t>. GEMA Online™ Journal of Language Studies Volume 12(2), 505-520.</w:t>
      </w:r>
    </w:p>
    <w:p w14:paraId="40CDD12E" w14:textId="6C14BF98" w:rsidR="008A6C23" w:rsidRPr="008A6C23" w:rsidRDefault="002543FA" w:rsidP="008A6C23">
      <w:pPr>
        <w:spacing w:after="0" w:line="240" w:lineRule="auto"/>
        <w:ind w:left="567" w:hanging="567"/>
        <w:jc w:val="both"/>
        <w:rPr>
          <w:rFonts w:ascii="Calibri" w:hAnsi="Calibri" w:cs="Calibri"/>
          <w:sz w:val="24"/>
          <w:szCs w:val="24"/>
        </w:rPr>
      </w:pPr>
      <w:r w:rsidRPr="008A6C23">
        <w:rPr>
          <w:rFonts w:ascii="Calibri" w:hAnsi="Calibri" w:cs="Calibri"/>
          <w:sz w:val="24"/>
          <w:szCs w:val="24"/>
        </w:rPr>
        <w:t>Yusri</w:t>
      </w:r>
      <w:r>
        <w:rPr>
          <w:rFonts w:ascii="Calibri" w:hAnsi="Calibri" w:cs="Calibri"/>
          <w:sz w:val="24"/>
          <w:szCs w:val="24"/>
        </w:rPr>
        <w:t>, G</w:t>
      </w:r>
      <w:r w:rsidR="008A6C23" w:rsidRPr="008A6C23">
        <w:rPr>
          <w:rFonts w:ascii="Calibri" w:hAnsi="Calibri" w:cs="Calibri"/>
          <w:sz w:val="24"/>
          <w:szCs w:val="24"/>
        </w:rPr>
        <w:t xml:space="preserve">, Nik Mohd Rohimi &amp; </w:t>
      </w:r>
      <w:proofErr w:type="spellStart"/>
      <w:r w:rsidR="008A6C23" w:rsidRPr="008A6C23">
        <w:rPr>
          <w:rFonts w:ascii="Calibri" w:hAnsi="Calibri" w:cs="Calibri"/>
          <w:sz w:val="24"/>
          <w:szCs w:val="24"/>
        </w:rPr>
        <w:t>Parilah</w:t>
      </w:r>
      <w:proofErr w:type="spellEnd"/>
      <w:r w:rsidR="008A6C23" w:rsidRPr="008A6C23">
        <w:rPr>
          <w:rFonts w:ascii="Calibri" w:hAnsi="Calibri" w:cs="Calibri"/>
          <w:sz w:val="24"/>
          <w:szCs w:val="24"/>
        </w:rPr>
        <w:t xml:space="preserve"> M. Shah. (2010). </w:t>
      </w:r>
      <w:proofErr w:type="spellStart"/>
      <w:r w:rsidR="008A6C23" w:rsidRPr="008A6C23">
        <w:rPr>
          <w:rFonts w:ascii="Calibri" w:hAnsi="Calibri" w:cs="Calibri"/>
          <w:sz w:val="24"/>
          <w:szCs w:val="24"/>
        </w:rPr>
        <w:t>Sikap</w:t>
      </w:r>
      <w:proofErr w:type="spellEnd"/>
      <w:r w:rsidR="008A6C23" w:rsidRPr="008A6C23">
        <w:rPr>
          <w:rFonts w:ascii="Calibri" w:hAnsi="Calibri" w:cs="Calibri"/>
          <w:sz w:val="24"/>
          <w:szCs w:val="24"/>
        </w:rPr>
        <w:t xml:space="preserve"> </w:t>
      </w:r>
      <w:proofErr w:type="spellStart"/>
      <w:r w:rsidR="008A6C23" w:rsidRPr="008A6C23">
        <w:rPr>
          <w:rFonts w:ascii="Calibri" w:hAnsi="Calibri" w:cs="Calibri"/>
          <w:sz w:val="24"/>
          <w:szCs w:val="24"/>
        </w:rPr>
        <w:t>Pelajar</w:t>
      </w:r>
      <w:proofErr w:type="spellEnd"/>
      <w:r w:rsidR="008A6C23" w:rsidRPr="008A6C23">
        <w:rPr>
          <w:rFonts w:ascii="Calibri" w:hAnsi="Calibri" w:cs="Calibri"/>
          <w:sz w:val="24"/>
          <w:szCs w:val="24"/>
        </w:rPr>
        <w:t xml:space="preserve"> </w:t>
      </w:r>
      <w:proofErr w:type="spellStart"/>
      <w:r w:rsidR="008A6C23" w:rsidRPr="008A6C23">
        <w:rPr>
          <w:rFonts w:ascii="Calibri" w:hAnsi="Calibri" w:cs="Calibri"/>
          <w:sz w:val="24"/>
          <w:szCs w:val="24"/>
        </w:rPr>
        <w:t>Terhadap</w:t>
      </w:r>
      <w:proofErr w:type="spellEnd"/>
      <w:r w:rsidR="008A6C23" w:rsidRPr="008A6C23">
        <w:rPr>
          <w:rFonts w:ascii="Calibri" w:hAnsi="Calibri" w:cs="Calibri"/>
          <w:sz w:val="24"/>
          <w:szCs w:val="24"/>
        </w:rPr>
        <w:t xml:space="preserve"> </w:t>
      </w:r>
      <w:proofErr w:type="spellStart"/>
      <w:r w:rsidR="008A6C23" w:rsidRPr="008A6C23">
        <w:rPr>
          <w:rFonts w:ascii="Calibri" w:hAnsi="Calibri" w:cs="Calibri"/>
          <w:sz w:val="24"/>
          <w:szCs w:val="24"/>
        </w:rPr>
        <w:t>Pembelajaran</w:t>
      </w:r>
      <w:proofErr w:type="spellEnd"/>
      <w:r w:rsidR="008A6C23" w:rsidRPr="008A6C23">
        <w:rPr>
          <w:rFonts w:ascii="Calibri" w:hAnsi="Calibri" w:cs="Calibri"/>
          <w:sz w:val="24"/>
          <w:szCs w:val="24"/>
        </w:rPr>
        <w:t xml:space="preserve"> Kemahiran Lisan Bahasa Arab di </w:t>
      </w:r>
      <w:proofErr w:type="spellStart"/>
      <w:r w:rsidR="008A6C23" w:rsidRPr="008A6C23">
        <w:rPr>
          <w:rFonts w:ascii="Calibri" w:hAnsi="Calibri" w:cs="Calibri"/>
          <w:sz w:val="24"/>
          <w:szCs w:val="24"/>
        </w:rPr>
        <w:t>Universiti</w:t>
      </w:r>
      <w:proofErr w:type="spellEnd"/>
      <w:r w:rsidR="008A6C23" w:rsidRPr="008A6C23">
        <w:rPr>
          <w:rFonts w:ascii="Calibri" w:hAnsi="Calibri" w:cs="Calibri"/>
          <w:sz w:val="24"/>
          <w:szCs w:val="24"/>
        </w:rPr>
        <w:t xml:space="preserve"> </w:t>
      </w:r>
      <w:proofErr w:type="spellStart"/>
      <w:r w:rsidR="008A6C23" w:rsidRPr="008A6C23">
        <w:rPr>
          <w:rFonts w:ascii="Calibri" w:hAnsi="Calibri" w:cs="Calibri"/>
          <w:sz w:val="24"/>
          <w:szCs w:val="24"/>
        </w:rPr>
        <w:t>Teknologi</w:t>
      </w:r>
      <w:proofErr w:type="spellEnd"/>
      <w:r w:rsidR="008A6C23" w:rsidRPr="008A6C23">
        <w:rPr>
          <w:rFonts w:ascii="Calibri" w:hAnsi="Calibri" w:cs="Calibri"/>
          <w:sz w:val="24"/>
          <w:szCs w:val="24"/>
        </w:rPr>
        <w:t xml:space="preserve"> MARA (UiTM). GEMA Online Volume 10 (3), 15-33.</w:t>
      </w:r>
    </w:p>
    <w:sectPr w:rsidR="008A6C23" w:rsidRPr="008A6C23" w:rsidSect="008A6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23"/>
    <w:rsid w:val="00171EBB"/>
    <w:rsid w:val="002543FA"/>
    <w:rsid w:val="003333AD"/>
    <w:rsid w:val="008A6C23"/>
    <w:rsid w:val="008C0665"/>
    <w:rsid w:val="00CE0C5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8079"/>
  <w15:chartTrackingRefBased/>
  <w15:docId w15:val="{AA33BAA1-A08D-465E-B39E-7B4795D8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8A6C23"/>
    <w:rPr>
      <w:color w:val="0563C1" w:themeColor="hyperlink"/>
      <w:u w:val="single"/>
    </w:rPr>
  </w:style>
  <w:style w:type="table" w:styleId="TableGrid">
    <w:name w:val="Table Grid"/>
    <w:basedOn w:val="TableNormal"/>
    <w:qFormat/>
    <w:rsid w:val="008A6C23"/>
    <w:pPr>
      <w:widowControl w:val="0"/>
      <w:spacing w:after="0" w:line="240" w:lineRule="auto"/>
      <w:jc w:val="both"/>
    </w:pPr>
    <w:rPr>
      <w:rFonts w:ascii="Times New Roman" w:eastAsiaTheme="minorEastAsia" w:hAnsi="Times New Roman" w:cs="Times New Roman"/>
      <w:kern w:val="0"/>
      <w:sz w:val="20"/>
      <w:szCs w:val="20"/>
      <w:lang w:eastAsia="en-M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8A6C23"/>
    <w:rPr>
      <w:rFonts w:ascii="Calibri-Bold" w:hAnsi="Calibri-Bold" w:hint="default"/>
      <w:b/>
      <w:bCs/>
      <w:color w:val="000000"/>
      <w:sz w:val="24"/>
      <w:szCs w:val="24"/>
    </w:rPr>
  </w:style>
  <w:style w:type="paragraph" w:customStyle="1" w:styleId="Default">
    <w:name w:val="Default"/>
    <w:qFormat/>
    <w:rsid w:val="008A6C2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2900</Words>
  <Characters>16535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Afifah Fadzil</dc:creator>
  <cp:keywords/>
  <dc:description/>
  <cp:lastModifiedBy>Nur Afifah Fadzil</cp:lastModifiedBy>
  <cp:revision>1</cp:revision>
  <dcterms:created xsi:type="dcterms:W3CDTF">2024-05-17T08:29:00Z</dcterms:created>
  <dcterms:modified xsi:type="dcterms:W3CDTF">2024-05-17T09:17:00Z</dcterms:modified>
</cp:coreProperties>
</file>