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E8C" w:rsidRPr="003F4E8C" w:rsidRDefault="003F4E8C" w:rsidP="0008274A">
      <w:pPr>
        <w:pStyle w:val="BodyText"/>
        <w:jc w:val="center"/>
        <w:rPr>
          <w:rFonts w:ascii="Palatino Linotype" w:hAnsi="Palatino Linotype"/>
          <w:b/>
        </w:rPr>
      </w:pPr>
      <w:r w:rsidRPr="003F4E8C">
        <w:rPr>
          <w:rFonts w:ascii="Palatino Linotype" w:hAnsi="Palatino Linotype"/>
          <w:b/>
        </w:rPr>
        <w:t>Engineering Leadership in the Era of Digital Transformation: A Review of Values, Integrity, and Responsible Innovation</w:t>
      </w:r>
    </w:p>
    <w:p w:rsidR="0008274A" w:rsidRPr="003F4E8C" w:rsidRDefault="003F4E8C" w:rsidP="003F4E8C">
      <w:pPr>
        <w:pStyle w:val="BodyText"/>
        <w:spacing w:before="0" w:after="0"/>
        <w:jc w:val="center"/>
        <w:rPr>
          <w:rFonts w:ascii="Palatino Linotype" w:hAnsi="Palatino Linotype"/>
        </w:rPr>
      </w:pPr>
      <w:r>
        <w:rPr>
          <w:rFonts w:ascii="Palatino Linotype" w:hAnsi="Palatino Linotype"/>
        </w:rPr>
        <w:t>*</w:t>
      </w:r>
      <w:proofErr w:type="spellStart"/>
      <w:r w:rsidR="0008274A" w:rsidRPr="003F4E8C">
        <w:rPr>
          <w:rFonts w:ascii="Palatino Linotype" w:hAnsi="Palatino Linotype"/>
        </w:rPr>
        <w:t>Muhd</w:t>
      </w:r>
      <w:proofErr w:type="spellEnd"/>
      <w:r w:rsidR="0008274A" w:rsidRPr="003F4E8C">
        <w:rPr>
          <w:rFonts w:ascii="Palatino Linotype" w:hAnsi="Palatino Linotype"/>
        </w:rPr>
        <w:t xml:space="preserve"> Akmal Noor @ </w:t>
      </w:r>
      <w:proofErr w:type="spellStart"/>
      <w:r w:rsidR="0008274A" w:rsidRPr="003F4E8C">
        <w:rPr>
          <w:rFonts w:ascii="Palatino Linotype" w:hAnsi="Palatino Linotype"/>
        </w:rPr>
        <w:t>Buang</w:t>
      </w:r>
      <w:proofErr w:type="spellEnd"/>
      <w:r w:rsidR="0008274A" w:rsidRPr="003F4E8C">
        <w:rPr>
          <w:rFonts w:ascii="Palatino Linotype" w:hAnsi="Palatino Linotype"/>
        </w:rPr>
        <w:t xml:space="preserve"> Rajikon</w:t>
      </w:r>
      <w:r w:rsidRPr="003F4E8C">
        <w:rPr>
          <w:rFonts w:ascii="Palatino Linotype" w:hAnsi="Palatino Linotype"/>
          <w:vertAlign w:val="superscript"/>
        </w:rPr>
        <w:t>1</w:t>
      </w:r>
    </w:p>
    <w:p w:rsidR="0008274A" w:rsidRPr="003F4E8C" w:rsidRDefault="0008274A" w:rsidP="003F4E8C">
      <w:pPr>
        <w:pStyle w:val="BodyText"/>
        <w:spacing w:before="0" w:after="0"/>
        <w:jc w:val="center"/>
        <w:rPr>
          <w:rFonts w:ascii="Palatino Linotype" w:hAnsi="Palatino Linotype"/>
        </w:rPr>
      </w:pPr>
      <w:proofErr w:type="spellStart"/>
      <w:r w:rsidRPr="003F4E8C">
        <w:rPr>
          <w:rFonts w:ascii="Palatino Linotype" w:hAnsi="Palatino Linotype"/>
        </w:rPr>
        <w:t>Shahrulanuar</w:t>
      </w:r>
      <w:proofErr w:type="spellEnd"/>
      <w:r w:rsidRPr="003F4E8C">
        <w:rPr>
          <w:rFonts w:ascii="Palatino Linotype" w:hAnsi="Palatino Linotype"/>
        </w:rPr>
        <w:t xml:space="preserve"> Mohamed</w:t>
      </w:r>
      <w:r w:rsidR="003F4E8C" w:rsidRPr="003F4E8C">
        <w:rPr>
          <w:rFonts w:ascii="Palatino Linotype" w:hAnsi="Palatino Linotype"/>
          <w:vertAlign w:val="superscript"/>
        </w:rPr>
        <w:t>1</w:t>
      </w:r>
    </w:p>
    <w:p w:rsidR="0008274A" w:rsidRDefault="0008274A" w:rsidP="003F4E8C">
      <w:pPr>
        <w:pStyle w:val="BodyText"/>
        <w:spacing w:before="0" w:after="0"/>
        <w:jc w:val="center"/>
        <w:rPr>
          <w:rFonts w:ascii="Palatino Linotype" w:hAnsi="Palatino Linotype"/>
          <w:vertAlign w:val="superscript"/>
        </w:rPr>
      </w:pPr>
      <w:r w:rsidRPr="003F4E8C">
        <w:rPr>
          <w:rFonts w:ascii="Palatino Linotype" w:hAnsi="Palatino Linotype"/>
        </w:rPr>
        <w:t>Ab. Rahman, Z</w:t>
      </w:r>
      <w:r w:rsidR="003F4E8C" w:rsidRPr="003F4E8C">
        <w:rPr>
          <w:rFonts w:ascii="Palatino Linotype" w:hAnsi="Palatino Linotype"/>
          <w:vertAlign w:val="superscript"/>
        </w:rPr>
        <w:t>2</w:t>
      </w:r>
    </w:p>
    <w:p w:rsidR="003F4E8C" w:rsidRPr="003F4E8C" w:rsidRDefault="003F4E8C" w:rsidP="003F4E8C">
      <w:pPr>
        <w:pStyle w:val="BodyText"/>
        <w:spacing w:before="0" w:after="0"/>
        <w:jc w:val="center"/>
        <w:rPr>
          <w:rFonts w:ascii="Palatino Linotype" w:hAnsi="Palatino Linotype"/>
        </w:rPr>
      </w:pPr>
    </w:p>
    <w:p w:rsidR="0008274A" w:rsidRPr="003F4E8C" w:rsidRDefault="003F4E8C" w:rsidP="003F4E8C">
      <w:pPr>
        <w:pStyle w:val="BodyText"/>
        <w:spacing w:before="0" w:after="0"/>
        <w:jc w:val="center"/>
        <w:rPr>
          <w:rFonts w:ascii="Palatino Linotype" w:hAnsi="Palatino Linotype"/>
        </w:rPr>
      </w:pPr>
      <w:r w:rsidRPr="003F4E8C">
        <w:rPr>
          <w:rFonts w:ascii="Palatino Linotype" w:hAnsi="Palatino Linotype"/>
          <w:vertAlign w:val="superscript"/>
        </w:rPr>
        <w:t>1</w:t>
      </w:r>
      <w:r w:rsidR="0008274A" w:rsidRPr="003F4E8C">
        <w:rPr>
          <w:rFonts w:ascii="Palatino Linotype" w:hAnsi="Palatino Linotype"/>
        </w:rPr>
        <w:t>School of International Studies and Global Languages (SPAB)</w:t>
      </w:r>
    </w:p>
    <w:p w:rsidR="0008274A" w:rsidRPr="003F4E8C" w:rsidRDefault="0008274A" w:rsidP="003F4E8C">
      <w:pPr>
        <w:pStyle w:val="BodyText"/>
        <w:spacing w:before="0" w:after="0"/>
        <w:jc w:val="center"/>
        <w:rPr>
          <w:rFonts w:ascii="Palatino Linotype" w:hAnsi="Palatino Linotype"/>
        </w:rPr>
      </w:pPr>
      <w:proofErr w:type="spellStart"/>
      <w:r w:rsidRPr="003F4E8C">
        <w:rPr>
          <w:rFonts w:ascii="Palatino Linotype" w:hAnsi="Palatino Linotype"/>
        </w:rPr>
        <w:t>Universiti</w:t>
      </w:r>
      <w:proofErr w:type="spellEnd"/>
      <w:r w:rsidRPr="003F4E8C">
        <w:rPr>
          <w:rFonts w:ascii="Palatino Linotype" w:hAnsi="Palatino Linotype"/>
        </w:rPr>
        <w:t xml:space="preserve"> </w:t>
      </w:r>
      <w:proofErr w:type="spellStart"/>
      <w:r w:rsidRPr="003F4E8C">
        <w:rPr>
          <w:rFonts w:ascii="Palatino Linotype" w:hAnsi="Palatino Linotype"/>
        </w:rPr>
        <w:t>Teknikal</w:t>
      </w:r>
      <w:proofErr w:type="spellEnd"/>
      <w:r w:rsidRPr="003F4E8C">
        <w:rPr>
          <w:rFonts w:ascii="Palatino Linotype" w:hAnsi="Palatino Linotype"/>
        </w:rPr>
        <w:t xml:space="preserve"> Malaysia Melaka, Malaysia</w:t>
      </w:r>
    </w:p>
    <w:p w:rsidR="0008274A" w:rsidRDefault="003F4E8C" w:rsidP="003F4E8C">
      <w:pPr>
        <w:pStyle w:val="BodyText"/>
        <w:spacing w:before="0" w:after="0"/>
        <w:jc w:val="center"/>
        <w:rPr>
          <w:rFonts w:ascii="Palatino Linotype" w:hAnsi="Palatino Linotype"/>
        </w:rPr>
      </w:pPr>
      <w:r w:rsidRPr="003F4E8C">
        <w:rPr>
          <w:rFonts w:ascii="Palatino Linotype" w:hAnsi="Palatino Linotype"/>
          <w:vertAlign w:val="superscript"/>
        </w:rPr>
        <w:t>2</w:t>
      </w:r>
      <w:r w:rsidR="0008274A" w:rsidRPr="003F4E8C">
        <w:rPr>
          <w:rFonts w:ascii="Palatino Linotype" w:hAnsi="Palatino Linotype"/>
        </w:rPr>
        <w:t xml:space="preserve">Research Centre for Theology &amp; Philosophy, Faculty of Islamic Studies &amp; Institute of IR4.0 (IIR4.0), UKM </w:t>
      </w:r>
      <w:proofErr w:type="spellStart"/>
      <w:r w:rsidR="0008274A" w:rsidRPr="003F4E8C">
        <w:rPr>
          <w:rFonts w:ascii="Palatino Linotype" w:hAnsi="Palatino Linotype"/>
        </w:rPr>
        <w:t>Bangi</w:t>
      </w:r>
      <w:proofErr w:type="spellEnd"/>
      <w:r w:rsidR="0008274A" w:rsidRPr="003F4E8C">
        <w:rPr>
          <w:rFonts w:ascii="Palatino Linotype" w:hAnsi="Palatino Linotype"/>
        </w:rPr>
        <w:t>, Selangor, Malaysia</w:t>
      </w:r>
    </w:p>
    <w:p w:rsidR="003F4E8C" w:rsidRDefault="003F4E8C" w:rsidP="003F4E8C">
      <w:pPr>
        <w:pStyle w:val="BodyText"/>
        <w:spacing w:before="0" w:after="0"/>
        <w:jc w:val="center"/>
        <w:rPr>
          <w:rFonts w:ascii="Palatino Linotype" w:hAnsi="Palatino Linotype"/>
        </w:rPr>
      </w:pPr>
    </w:p>
    <w:p w:rsidR="003F4E8C" w:rsidRDefault="003F4E8C" w:rsidP="003F4E8C">
      <w:pPr>
        <w:pStyle w:val="BodyText"/>
        <w:spacing w:before="0" w:after="0"/>
        <w:jc w:val="center"/>
        <w:rPr>
          <w:rFonts w:ascii="Palatino Linotype" w:hAnsi="Palatino Linotype"/>
        </w:rPr>
      </w:pPr>
      <w:r w:rsidRPr="003F4E8C">
        <w:rPr>
          <w:rFonts w:ascii="Palatino Linotype" w:hAnsi="Palatino Linotype"/>
        </w:rPr>
        <w:t>*Corresponding author</w:t>
      </w:r>
    </w:p>
    <w:p w:rsidR="003F4E8C" w:rsidRPr="003F4E8C" w:rsidRDefault="003F4E8C" w:rsidP="003F4E8C">
      <w:pPr>
        <w:pStyle w:val="BodyText"/>
        <w:spacing w:before="0" w:after="0"/>
        <w:jc w:val="center"/>
        <w:rPr>
          <w:rFonts w:ascii="Palatino Linotype" w:hAnsi="Palatino Linotype"/>
          <w:b/>
        </w:rPr>
      </w:pPr>
      <w:r w:rsidRPr="003F4E8C">
        <w:rPr>
          <w:rFonts w:ascii="Palatino Linotype" w:hAnsi="Palatino Linotype"/>
          <w:b/>
        </w:rPr>
        <w:t>ekmalnuur@utem.edu.my</w:t>
      </w:r>
      <w:bookmarkStart w:id="0" w:name="_GoBack"/>
      <w:bookmarkEnd w:id="0"/>
    </w:p>
    <w:p w:rsidR="0008274A" w:rsidRPr="003F4E8C" w:rsidRDefault="0008274A" w:rsidP="003F4E8C">
      <w:pPr>
        <w:pStyle w:val="BodyText"/>
        <w:jc w:val="center"/>
        <w:rPr>
          <w:rFonts w:ascii="Palatino Linotype" w:hAnsi="Palatino Linotype"/>
          <w:b/>
        </w:rPr>
      </w:pPr>
      <w:r w:rsidRPr="003F4E8C">
        <w:rPr>
          <w:rFonts w:ascii="Palatino Linotype" w:hAnsi="Palatino Linotype"/>
          <w:b/>
        </w:rPr>
        <w:t>Abstract</w:t>
      </w:r>
    </w:p>
    <w:p w:rsidR="000C35B6" w:rsidRDefault="00E42C47">
      <w:pPr>
        <w:pStyle w:val="BodyText"/>
        <w:jc w:val="both"/>
      </w:pPr>
      <w:r>
        <w:rPr>
          <w:rFonts w:ascii="Palatino Linotype" w:hAnsi="Palatino Linotype"/>
        </w:rPr>
        <w:t>The rapid advancement of</w:t>
      </w:r>
      <w:r>
        <w:rPr>
          <w:rFonts w:ascii="Palatino Linotype" w:hAnsi="Palatino Linotype"/>
        </w:rPr>
        <w:t xml:space="preserve"> digital technologies, artificial intelligence (AI), automation, and the Fourth Industrial Revolution (Industry 4.0) has transformed the role of engineers from technical specialists to strategic leaders within organizations. The success of technological de</w:t>
      </w:r>
      <w:r>
        <w:rPr>
          <w:rFonts w:ascii="Palatino Linotype" w:hAnsi="Palatino Linotype"/>
        </w:rPr>
        <w:t>velopment depends not only on technical expertise but also on the values, ethics, and integrity demonstrated by leaders. This article aims to examine the importance of values-based leadership among engineers in addressing the challenges of digital transfor</w:t>
      </w:r>
      <w:r>
        <w:rPr>
          <w:rFonts w:ascii="Palatino Linotype" w:hAnsi="Palatino Linotype"/>
        </w:rPr>
        <w:t>mation. A qualitative conceptual review approach was employed through an analysis of literature on leadership theory, professional ethics, AI ethics, and responsible innovation. The findings indicate that trustworthiness, integrity, accountability, fairnes</w:t>
      </w:r>
      <w:r>
        <w:rPr>
          <w:rFonts w:ascii="Palatino Linotype" w:hAnsi="Palatino Linotype"/>
        </w:rPr>
        <w:t>s, and social responsibility are critical elements contributing to effective engineering leadership. Furthermore, challenges such as ethical dilemmas associated with artificial intelligence, organizational pressures, data security and privacy concerns, and</w:t>
      </w:r>
      <w:r>
        <w:rPr>
          <w:rFonts w:ascii="Palatino Linotype" w:hAnsi="Palatino Linotype"/>
        </w:rPr>
        <w:t xml:space="preserve"> technological sustainability require engineering leaders to make decisions grounded in strong moral principles and supported by enabling organizational conditions. This study proposes a Values-Based Engineering Leadership Model as a framework for higher e</w:t>
      </w:r>
      <w:r>
        <w:rPr>
          <w:rFonts w:ascii="Palatino Linotype" w:hAnsi="Palatino Linotype"/>
        </w:rPr>
        <w:t>ducation institutions, industrial organizations, professional bodies, and policymakers. The article contributes to the growing body of knowledge on technical leadership and reinforces the role of engineers as ethical and sustainable agents of technological</w:t>
      </w:r>
      <w:r>
        <w:rPr>
          <w:rFonts w:ascii="Palatino Linotype" w:hAnsi="Palatino Linotype"/>
        </w:rPr>
        <w:t xml:space="preserve"> development.</w:t>
      </w:r>
    </w:p>
    <w:p w:rsidR="000C35B6" w:rsidRDefault="00E42C47">
      <w:pPr>
        <w:pStyle w:val="BodyText"/>
        <w:jc w:val="both"/>
      </w:pPr>
      <w:r>
        <w:rPr>
          <w:rFonts w:ascii="Palatino Linotype" w:hAnsi="Palatino Linotype"/>
          <w:b/>
        </w:rPr>
        <w:t>Keywords</w:t>
      </w:r>
      <w:r>
        <w:rPr>
          <w:rFonts w:ascii="Palatino Linotype" w:hAnsi="Palatino Linotype"/>
        </w:rPr>
        <w:t>: Engineering leadership, integrity, values, digital transformation, technology ethics, responsible innovation.</w:t>
      </w:r>
    </w:p>
    <w:p w:rsidR="000C35B6" w:rsidRDefault="000C35B6">
      <w:pPr>
        <w:pStyle w:val="BodyText"/>
        <w:jc w:val="both"/>
      </w:pPr>
    </w:p>
    <w:p w:rsidR="000C35B6" w:rsidRDefault="00E42C47">
      <w:pPr>
        <w:pStyle w:val="BodyText"/>
        <w:keepNext/>
        <w:jc w:val="both"/>
      </w:pPr>
      <w:r>
        <w:rPr>
          <w:rFonts w:ascii="Palatino Linotype" w:hAnsi="Palatino Linotype"/>
          <w:b/>
        </w:rPr>
        <w:lastRenderedPageBreak/>
        <w:t>Introduction</w:t>
      </w:r>
    </w:p>
    <w:p w:rsidR="000C35B6" w:rsidRDefault="00E42C47">
      <w:pPr>
        <w:pStyle w:val="BodyText"/>
        <w:jc w:val="both"/>
      </w:pPr>
      <w:r>
        <w:rPr>
          <w:rFonts w:ascii="Palatino Linotype" w:hAnsi="Palatino Linotype"/>
        </w:rPr>
        <w:t>Digital transformation in the twenty-first century has fundamentally reshaped the landscape of technological</w:t>
      </w:r>
      <w:r>
        <w:rPr>
          <w:rFonts w:ascii="Palatino Linotype" w:hAnsi="Palatino Linotype"/>
        </w:rPr>
        <w:t xml:space="preserve"> development and organizational management. Vial (2019) conceptualizes digital transformation as a process in which digital technologies disrupt organizations and trigger strategic responses that alter how value is created. The emergence of technologies su</w:t>
      </w:r>
      <w:r>
        <w:rPr>
          <w:rFonts w:ascii="Palatino Linotype" w:hAnsi="Palatino Linotype"/>
        </w:rPr>
        <w:t>ch as Artificial Intelligence (AI), the Internet of Things (IoT), big data analytics, and automation, which Schwab (2017) places at the core of the Fourth Industrial Revolution and which Xu et al. (2018) review under the label Industry 4.0, has increased o</w:t>
      </w:r>
      <w:r>
        <w:rPr>
          <w:rFonts w:ascii="Palatino Linotype" w:hAnsi="Palatino Linotype"/>
        </w:rPr>
        <w:t>rganizational reliance on engineering expertise. Brynjolfsson and McAfee (2014) similarly argue that digital technologies are extending automation from physical to cognitive tasks, thereby changing the nature of work and the distribution of its benefits. I</w:t>
      </w:r>
      <w:r>
        <w:rPr>
          <w:rFonts w:ascii="Palatino Linotype" w:hAnsi="Palatino Linotype"/>
        </w:rPr>
        <w:t>n this context, engineers are no longer viewed solely as technical practitioners but also as leaders who influence organizational direction and technological advancement.</w:t>
      </w:r>
    </w:p>
    <w:p w:rsidR="000C35B6" w:rsidRDefault="00E42C47">
      <w:pPr>
        <w:pStyle w:val="BodyText"/>
        <w:jc w:val="both"/>
      </w:pPr>
      <w:r>
        <w:rPr>
          <w:rFonts w:ascii="Palatino Linotype" w:hAnsi="Palatino Linotype"/>
        </w:rPr>
        <w:t>However, the growing influence of technology has also introduced numerous ethical cha</w:t>
      </w:r>
      <w:r>
        <w:rPr>
          <w:rFonts w:ascii="Palatino Linotype" w:hAnsi="Palatino Linotype"/>
        </w:rPr>
        <w:t>llenges. Issues related to data privacy, cybersecurity, algorithmic bias, environmental sustainability, and social responsibility require engineers to make decisions that are not only technically sound but also ethically grounded. Jobin et al. (2019) revie</w:t>
      </w:r>
      <w:r>
        <w:rPr>
          <w:rFonts w:ascii="Palatino Linotype" w:hAnsi="Palatino Linotype"/>
        </w:rPr>
        <w:t>wed 84 AI ethics guideline documents and found an emerging convergence around five principles (transparency, justice and fairness, non-maleficence, responsibility, and privacy), although the interpretation and implementation of these principles differ cons</w:t>
      </w:r>
      <w:r>
        <w:rPr>
          <w:rFonts w:ascii="Palatino Linotype" w:hAnsi="Palatino Linotype"/>
        </w:rPr>
        <w:t>iderably. Mittelstadt et al. (2016) similarly map ethical concerns raised by algorithms, including inscrutable evidence, unfair outcomes, and difficulties in tracing responsibility, while Zuboff (2019) shows how large-scale data extraction can erode privac</w:t>
      </w:r>
      <w:r>
        <w:rPr>
          <w:rFonts w:ascii="Palatino Linotype" w:hAnsi="Palatino Linotype"/>
        </w:rPr>
        <w:t>y and autonomy. Failures of engineering judgment can also be catastrophic, as the analysis of the Boeing 737 MAX accidents by Herkert et al. (2020) illustrates. Consequently, values-based engineering leadership has become increasingly important in ensuring</w:t>
      </w:r>
      <w:r>
        <w:rPr>
          <w:rFonts w:ascii="Palatino Linotype" w:hAnsi="Palatino Linotype"/>
        </w:rPr>
        <w:t xml:space="preserve"> that technological development benefits society as a whole.</w:t>
      </w:r>
    </w:p>
    <w:p w:rsidR="000C35B6" w:rsidRDefault="00E42C47">
      <w:pPr>
        <w:pStyle w:val="BodyText"/>
        <w:jc w:val="both"/>
      </w:pPr>
      <w:r>
        <w:rPr>
          <w:rFonts w:ascii="Palatino Linotype" w:hAnsi="Palatino Linotype"/>
        </w:rPr>
        <w:t xml:space="preserve">The issue is also of national relevance. Malaysia’s National Fourth Industrial Revolution (4IR) Policy aims to drive socio-economic transformation through the ethical use of 4IR technologies and </w:t>
      </w:r>
      <w:r>
        <w:rPr>
          <w:rFonts w:ascii="Palatino Linotype" w:hAnsi="Palatino Linotype"/>
        </w:rPr>
        <w:t>adopts a humanity-centred approach (Economic Planning Unit, 2021). Realizing this ambition depends heavily on the engineers who design, deploy, and govern digital systems, and on the quality of their leadership.</w:t>
      </w:r>
    </w:p>
    <w:p w:rsidR="000C35B6" w:rsidRDefault="00E42C47">
      <w:pPr>
        <w:pStyle w:val="BodyText"/>
        <w:jc w:val="both"/>
      </w:pPr>
      <w:r>
        <w:rPr>
          <w:rFonts w:ascii="Palatino Linotype" w:hAnsi="Palatino Linotype"/>
        </w:rPr>
        <w:t xml:space="preserve">Despite extensive scholarship on leadership </w:t>
      </w:r>
      <w:r>
        <w:rPr>
          <w:rFonts w:ascii="Palatino Linotype" w:hAnsi="Palatino Linotype"/>
        </w:rPr>
        <w:t>theory (Northouse, 2021; Yukl &amp; Gardner, 2020), engineering ethics (Davis, 1998; Harris et al., 2019), and AI ethics (Floridi et al., 2018; Jobin et al., 2019), these literatures are often developed in parallel. Leadership research tends to be generic acro</w:t>
      </w:r>
      <w:r>
        <w:rPr>
          <w:rFonts w:ascii="Palatino Linotype" w:hAnsi="Palatino Linotype"/>
        </w:rPr>
        <w:t xml:space="preserve">ss professions, engineering ethics frequently focuses on individual compliance with professional codes, and AI ethics often emphasizes principles </w:t>
      </w:r>
      <w:r>
        <w:rPr>
          <w:rFonts w:ascii="Palatino Linotype" w:hAnsi="Palatino Linotype"/>
        </w:rPr>
        <w:lastRenderedPageBreak/>
        <w:t>rather than the leaders who must operationalize them (Hagendorff, 2020). Relatively little work integrates the</w:t>
      </w:r>
      <w:r>
        <w:rPr>
          <w:rFonts w:ascii="Palatino Linotype" w:hAnsi="Palatino Linotype"/>
        </w:rPr>
        <w:t>se strands to explain what kind of leadership engineers need in the digital era. This article addresses that gap.</w:t>
      </w:r>
    </w:p>
    <w:p w:rsidR="000C35B6" w:rsidRDefault="00E42C47">
      <w:pPr>
        <w:pStyle w:val="BodyText"/>
        <w:jc w:val="both"/>
      </w:pPr>
      <w:r>
        <w:rPr>
          <w:rFonts w:ascii="Palatino Linotype" w:hAnsi="Palatino Linotype"/>
        </w:rPr>
        <w:t>This article aims to examine the role of engineering leadership in the era of digital transformation and identify the key values necessary for</w:t>
      </w:r>
      <w:r>
        <w:rPr>
          <w:rFonts w:ascii="Palatino Linotype" w:hAnsi="Palatino Linotype"/>
        </w:rPr>
        <w:t xml:space="preserve"> fostering ethical and sustainable leadership practices. Specifically, it addresses three questions: (1) which values underpin effective engineering leadership in the digital era; (2) which challenges test those values; and (3) how these values can be inte</w:t>
      </w:r>
      <w:r>
        <w:rPr>
          <w:rFonts w:ascii="Palatino Linotype" w:hAnsi="Palatino Linotype"/>
        </w:rPr>
        <w:t>grated into a framework that guides education, industry practice, and policy. The remainder of the article reviews the relevant literature, explains the methodology, presents the findings and the proposed model, and concludes with implications and recommen</w:t>
      </w:r>
      <w:r>
        <w:rPr>
          <w:rFonts w:ascii="Palatino Linotype" w:hAnsi="Palatino Linotype"/>
        </w:rPr>
        <w:t>dations.</w:t>
      </w:r>
    </w:p>
    <w:p w:rsidR="000C35B6" w:rsidRDefault="00E42C47">
      <w:pPr>
        <w:pStyle w:val="BodyText"/>
        <w:keepNext/>
        <w:jc w:val="both"/>
      </w:pPr>
      <w:r>
        <w:rPr>
          <w:rFonts w:ascii="Palatino Linotype" w:hAnsi="Palatino Linotype"/>
          <w:b/>
        </w:rPr>
        <w:t>Literature Review</w:t>
      </w:r>
    </w:p>
    <w:p w:rsidR="000C35B6" w:rsidRDefault="00E42C47">
      <w:pPr>
        <w:pStyle w:val="BodyText"/>
        <w:keepNext/>
        <w:jc w:val="both"/>
      </w:pPr>
      <w:r>
        <w:rPr>
          <w:rFonts w:ascii="Palatino Linotype" w:hAnsi="Palatino Linotype"/>
          <w:b/>
          <w:i/>
        </w:rPr>
        <w:t>The Concept of Engineering Leadership</w:t>
      </w:r>
    </w:p>
    <w:p w:rsidR="000C35B6" w:rsidRDefault="00E42C47">
      <w:pPr>
        <w:pStyle w:val="BodyText"/>
        <w:jc w:val="both"/>
      </w:pPr>
      <w:r>
        <w:rPr>
          <w:rFonts w:ascii="Palatino Linotype" w:hAnsi="Palatino Linotype"/>
        </w:rPr>
        <w:t>Engineering leadership refers to the ability of individuals with engineering backgrounds to influence, guide, and manage people and organizations toward the achievement of specific goals. Thi</w:t>
      </w:r>
      <w:r>
        <w:rPr>
          <w:rFonts w:ascii="Palatino Linotype" w:hAnsi="Palatino Linotype"/>
        </w:rPr>
        <w:t xml:space="preserve">s view builds on the general understanding of leadership as a process of influencing others to understand and agree about what needs to be done and how to do it, and of facilitating individual and collective efforts to accomplish shared objectives (Yukl &amp; </w:t>
      </w:r>
      <w:r>
        <w:rPr>
          <w:rFonts w:ascii="Palatino Linotype" w:hAnsi="Palatino Linotype"/>
        </w:rPr>
        <w:t>Gardner, 2020). Rottmann et al. (2015) examined how engineers in four Canadian engineering-intensive firms understand leadership, using nine focus groups and seven interviews. They found that engineers tend to resist leadership paradigms imported from othe</w:t>
      </w:r>
      <w:r>
        <w:rPr>
          <w:rFonts w:ascii="Palatino Linotype" w:hAnsi="Palatino Linotype"/>
        </w:rPr>
        <w:t xml:space="preserve">r disciplines, yet lead in ways that blend their professional identities with recognized forms of influence. Their compound model describes three leadership orientations (technical mastery, collaborative optimization, and organizational innovation), which </w:t>
      </w:r>
      <w:r>
        <w:rPr>
          <w:rFonts w:ascii="Palatino Linotype" w:hAnsi="Palatino Linotype"/>
        </w:rPr>
        <w:t>together reflect a combination of technical competence, interpersonal skills, and strategic thinking.</w:t>
      </w:r>
    </w:p>
    <w:p w:rsidR="000C35B6" w:rsidRDefault="00E42C47">
      <w:pPr>
        <w:pStyle w:val="BodyText"/>
        <w:jc w:val="both"/>
      </w:pPr>
      <w:r>
        <w:rPr>
          <w:rFonts w:ascii="Palatino Linotype" w:hAnsi="Palatino Linotype"/>
        </w:rPr>
        <w:t>Traditional leadership models that emphasize authority and control are becoming less relevant in dynamic technological environments. Instead, organization</w:t>
      </w:r>
      <w:r>
        <w:rPr>
          <w:rFonts w:ascii="Palatino Linotype" w:hAnsi="Palatino Linotype"/>
        </w:rPr>
        <w:t>s increasingly require leaders who can promote innovation, collaboration, and continuous learning. Transformational leadership, which Bass and Riggio (2006) characterize through idealized influence, inspirational motivation, intellectual stimulation, and i</w:t>
      </w:r>
      <w:r>
        <w:rPr>
          <w:rFonts w:ascii="Palatino Linotype" w:hAnsi="Palatino Linotype"/>
        </w:rPr>
        <w:t>ndividualized consideration, is often regarded as better suited to such settings because it focuses on developing followers and mobilizing them around a shared vision.</w:t>
      </w:r>
    </w:p>
    <w:p w:rsidR="000C35B6" w:rsidRDefault="00E42C47">
      <w:pPr>
        <w:pStyle w:val="BodyText"/>
        <w:jc w:val="both"/>
      </w:pPr>
      <w:r>
        <w:rPr>
          <w:rFonts w:ascii="Palatino Linotype" w:hAnsi="Palatino Linotype"/>
        </w:rPr>
        <w:t>The engineering education literature points in the same direction. Farr and Brazil (2009) argue that engineers who move into management roles need deliberate leadership skills development, and Kumar and Hsiao (2007) contend that leadership and other so-cal</w:t>
      </w:r>
      <w:r>
        <w:rPr>
          <w:rFonts w:ascii="Palatino Linotype" w:hAnsi="Palatino Linotype"/>
        </w:rPr>
        <w:t xml:space="preserve">led </w:t>
      </w:r>
      <w:r>
        <w:rPr>
          <w:rFonts w:ascii="Palatino Linotype" w:hAnsi="Palatino Linotype"/>
        </w:rPr>
        <w:lastRenderedPageBreak/>
        <w:t>soft skills should be cultivated within engineering classes rather than learned only through experience. Shuman et al. (2005) examined whether professional skills such as ethical responsibility, teamwork, and communication, which accreditation criteria</w:t>
      </w:r>
      <w:r>
        <w:rPr>
          <w:rFonts w:ascii="Palatino Linotype" w:hAnsi="Palatino Linotype"/>
        </w:rPr>
        <w:t xml:space="preserve"> require, can be taught and assessed, and Passow and Passow (2017) synthesized the literature on the competencies that undergraduate engineering programs should emphasize. Together, these studies suggest that technical excellence is necessary but insuffici</w:t>
      </w:r>
      <w:r>
        <w:rPr>
          <w:rFonts w:ascii="Palatino Linotype" w:hAnsi="Palatino Linotype"/>
        </w:rPr>
        <w:t>ent for those who lead engineering work.</w:t>
      </w:r>
    </w:p>
    <w:p w:rsidR="000C35B6" w:rsidRDefault="00E42C47">
      <w:pPr>
        <w:pStyle w:val="BodyText"/>
        <w:keepNext/>
        <w:jc w:val="both"/>
      </w:pPr>
      <w:r>
        <w:rPr>
          <w:rFonts w:ascii="Palatino Linotype" w:hAnsi="Palatino Linotype"/>
          <w:b/>
          <w:i/>
        </w:rPr>
        <w:t>Values-Based Leadership</w:t>
      </w:r>
    </w:p>
    <w:p w:rsidR="000C35B6" w:rsidRDefault="00E42C47">
      <w:pPr>
        <w:pStyle w:val="BodyText"/>
        <w:jc w:val="both"/>
      </w:pPr>
      <w:r>
        <w:rPr>
          <w:rFonts w:ascii="Palatino Linotype" w:hAnsi="Palatino Linotype"/>
        </w:rPr>
        <w:t>Values-based leadership emphasizes the role of moral values in decision-making and organizational management. Northouse (2021) argues that ethical leadership rests on principles such as respe</w:t>
      </w:r>
      <w:r>
        <w:rPr>
          <w:rFonts w:ascii="Palatino Linotype" w:hAnsi="Palatino Linotype"/>
        </w:rPr>
        <w:t>ct for others, service, justice, honesty, and community building, which translate into honesty, fairness, and concern for others’ welfare in everyday decisions. Ciulla (2014) and her contributors similarly maintain that ethics is not an add-on to leadershi</w:t>
      </w:r>
      <w:r>
        <w:rPr>
          <w:rFonts w:ascii="Palatino Linotype" w:hAnsi="Palatino Linotype"/>
        </w:rPr>
        <w:t>p but an integral part of what it means to lead well.</w:t>
      </w:r>
    </w:p>
    <w:p w:rsidR="000C35B6" w:rsidRDefault="00E42C47">
      <w:pPr>
        <w:pStyle w:val="BodyText"/>
        <w:jc w:val="both"/>
      </w:pPr>
      <w:r>
        <w:rPr>
          <w:rFonts w:ascii="Palatino Linotype" w:hAnsi="Palatino Linotype"/>
        </w:rPr>
        <w:t>Empirical research has operationalized these ideas in several ways. Brown and Treviño (2006) reviewed the literature on ethical leadership and its antecedents and outcomes, building on the social learni</w:t>
      </w:r>
      <w:r>
        <w:rPr>
          <w:rFonts w:ascii="Palatino Linotype" w:hAnsi="Palatino Linotype"/>
        </w:rPr>
        <w:t>ng perspective developed by Brown et al. (2005), in which leaders influence followers by modelling appropriate conduct and by communicating about, rewarding, and enforcing ethical standards. Treviño et al. (2000) offer a complementary view in which leaders</w:t>
      </w:r>
      <w:r>
        <w:rPr>
          <w:rFonts w:ascii="Palatino Linotype" w:hAnsi="Palatino Linotype"/>
        </w:rPr>
        <w:t xml:space="preserve"> earn a reputation for ethical leadership by being both a moral person (displaying integrity, honesty, and concern for people) and a moral manager (actively role-modelling, communicating about values, and using rewards and discipline to reinforce them). Re</w:t>
      </w:r>
      <w:r>
        <w:rPr>
          <w:rFonts w:ascii="Palatino Linotype" w:hAnsi="Palatino Linotype"/>
        </w:rPr>
        <w:t>lated perspectives include authentic leadership, which stresses self-awareness and consistency between internalized values and action (Avolio &amp; Gardner, 2005), and servant leadership, which places the needs of others ahead of the leader’s own (Greenleaf, 1</w:t>
      </w:r>
      <w:r>
        <w:rPr>
          <w:rFonts w:ascii="Palatino Linotype" w:hAnsi="Palatino Linotype"/>
        </w:rPr>
        <w:t>977). Maak and Pless (2006) extend the discussion to responsible leadership, which they describe as a relational and ethical phenomenon in which leaders interact with a wide range of stakeholders inside and outside the organization.</w:t>
      </w:r>
    </w:p>
    <w:p w:rsidR="000C35B6" w:rsidRDefault="00E42C47">
      <w:pPr>
        <w:pStyle w:val="BodyText"/>
        <w:jc w:val="both"/>
      </w:pPr>
      <w:r>
        <w:rPr>
          <w:rFonts w:ascii="Palatino Linotype" w:hAnsi="Palatino Linotype"/>
        </w:rPr>
        <w:t xml:space="preserve">Within the engineering </w:t>
      </w:r>
      <w:r>
        <w:rPr>
          <w:rFonts w:ascii="Palatino Linotype" w:hAnsi="Palatino Linotype"/>
        </w:rPr>
        <w:t>profession, these values are particularly important because technical decisions often have direct implications for human safety, societal well-being, and environmental sustainability. Professional codes make this explicit: the National Society of Professio</w:t>
      </w:r>
      <w:r>
        <w:rPr>
          <w:rFonts w:ascii="Palatino Linotype" w:hAnsi="Palatino Linotype"/>
        </w:rPr>
        <w:t xml:space="preserve">nal Engineers (NSPE, 2019) requires engineers to hold paramount the safety, health, and welfare of the public, and the Institution of Engineering and Technology (IET, 2024) expects members to safeguard the public interest in matters of health, safety, and </w:t>
      </w:r>
      <w:r>
        <w:rPr>
          <w:rFonts w:ascii="Palatino Linotype" w:hAnsi="Palatino Linotype"/>
        </w:rPr>
        <w:t xml:space="preserve">the environment while balancing the often conflicting interests of employers, society, and the environment. Therefore, engineers must balance </w:t>
      </w:r>
      <w:r>
        <w:rPr>
          <w:rFonts w:ascii="Palatino Linotype" w:hAnsi="Palatino Linotype"/>
        </w:rPr>
        <w:lastRenderedPageBreak/>
        <w:t>organizational objectives with their professional and social responsibilities (Harris et al., 2019).</w:t>
      </w:r>
    </w:p>
    <w:p w:rsidR="000C35B6" w:rsidRDefault="00E42C47">
      <w:pPr>
        <w:pStyle w:val="BodyText"/>
        <w:keepNext/>
        <w:jc w:val="both"/>
      </w:pPr>
      <w:r>
        <w:rPr>
          <w:rFonts w:ascii="Palatino Linotype" w:hAnsi="Palatino Linotype"/>
          <w:b/>
          <w:i/>
        </w:rPr>
        <w:t xml:space="preserve">Integrity in </w:t>
      </w:r>
      <w:r>
        <w:rPr>
          <w:rFonts w:ascii="Palatino Linotype" w:hAnsi="Palatino Linotype"/>
          <w:b/>
          <w:i/>
        </w:rPr>
        <w:t>the Engineering Profession</w:t>
      </w:r>
    </w:p>
    <w:p w:rsidR="000C35B6" w:rsidRDefault="00E42C47">
      <w:pPr>
        <w:pStyle w:val="BodyText"/>
        <w:jc w:val="both"/>
      </w:pPr>
      <w:r>
        <w:rPr>
          <w:rFonts w:ascii="Palatino Linotype" w:hAnsi="Palatino Linotype"/>
        </w:rPr>
        <w:t>Integrity serves as the foundation of engineering professionalism. Davis (1998) conceives a profession as a group of practitioners who voluntarily commit to shared standards of conduct that go beyond what law and ordinary moralit</w:t>
      </w:r>
      <w:r>
        <w:rPr>
          <w:rFonts w:ascii="Palatino Linotype" w:hAnsi="Palatino Linotype"/>
        </w:rPr>
        <w:t>y require, and codes of ethics are the visible expression of those standards. Codes established by professional bodies such as the IET (2024), the NSPE (2019), and the Institute of Electrical and Electronics Engineers (IEEE, 2020) emphasize trustworthiness</w:t>
      </w:r>
      <w:r>
        <w:rPr>
          <w:rFonts w:ascii="Palatino Linotype" w:hAnsi="Palatino Linotype"/>
        </w:rPr>
        <w:t>, transparency, and accountability, together with honesty in public statements, avoidance of conflicts of interest, and prompt disclosure of risks to the public. In Malaysia, the Registration of Engineers Act 1967 (Act 138) provides the statutory basis for</w:t>
      </w:r>
      <w:r>
        <w:rPr>
          <w:rFonts w:ascii="Palatino Linotype" w:hAnsi="Palatino Linotype"/>
        </w:rPr>
        <w:t xml:space="preserve"> registering engineers and establishes the Board of Engineers Malaysia, thereby linking professional standing to enforceable standards of conduct (Government of Malaysia, 1967).</w:t>
      </w:r>
    </w:p>
    <w:p w:rsidR="000C35B6" w:rsidRDefault="00E42C47">
      <w:pPr>
        <w:pStyle w:val="BodyText"/>
        <w:jc w:val="both"/>
      </w:pPr>
      <w:r>
        <w:rPr>
          <w:rFonts w:ascii="Palatino Linotype" w:hAnsi="Palatino Linotype"/>
        </w:rPr>
        <w:t xml:space="preserve">Previous studies have shown that failures in maintaining integrity can result </w:t>
      </w:r>
      <w:r>
        <w:rPr>
          <w:rFonts w:ascii="Palatino Linotype" w:hAnsi="Palatino Linotype"/>
        </w:rPr>
        <w:t>in significant organizational and societal consequences. Vaughan’s (1996) sociological analysis of the 1986 Challenger launch decision attributes the disaster not to isolated amoral calculation but to the gradual normalization of deviance within an organiz</w:t>
      </w:r>
      <w:r>
        <w:rPr>
          <w:rFonts w:ascii="Palatino Linotype" w:hAnsi="Palatino Linotype"/>
        </w:rPr>
        <w:t>ational culture that came to accept known technical anomalies as routine. More recently, Herkert et al. (2020) identify design flaws in the flight-control software of the Boeing 737 MAX, internal pressure to keep pace with a competitor, limited transparenc</w:t>
      </w:r>
      <w:r>
        <w:rPr>
          <w:rFonts w:ascii="Palatino Linotype" w:hAnsi="Palatino Linotype"/>
        </w:rPr>
        <w:t>y about the new software, and weak regulatory oversight among the factors behind two fatal accidents. They conclude that the voice of engineers within large organizations needs to be strengthened and that engineering ethics education should give greater at</w:t>
      </w:r>
      <w:r>
        <w:rPr>
          <w:rFonts w:ascii="Palatino Linotype" w:hAnsi="Palatino Linotype"/>
        </w:rPr>
        <w:t>tention to moral courage.</w:t>
      </w:r>
    </w:p>
    <w:p w:rsidR="000C35B6" w:rsidRDefault="00E42C47">
      <w:pPr>
        <w:pStyle w:val="BodyText"/>
        <w:jc w:val="both"/>
      </w:pPr>
      <w:r>
        <w:rPr>
          <w:rFonts w:ascii="Palatino Linotype" w:hAnsi="Palatino Linotype"/>
        </w:rPr>
        <w:t>Meta-analytic evidence indicates that unethical decisions at work arise from the interaction of individual characteristics, the nature of the moral issue, and the organizational environment (Kish-Gephart et al., 2010). The ethical</w:t>
      </w:r>
      <w:r>
        <w:rPr>
          <w:rFonts w:ascii="Palatino Linotype" w:hAnsi="Palatino Linotype"/>
        </w:rPr>
        <w:t xml:space="preserve"> climate of an organization, meaning shared perceptions about what constitutes ethically correct behavior and how ethical issues should be handled, is one such environmental factor (Victor &amp; Cullen, 1988). Leaders shape that climate and also whether employ</w:t>
      </w:r>
      <w:r>
        <w:rPr>
          <w:rFonts w:ascii="Palatino Linotype" w:hAnsi="Palatino Linotype"/>
        </w:rPr>
        <w:t xml:space="preserve">ees feel safe enough to raise concerns: psychological safety supports learning and speaking up in teams (Edmondson, 1999), and leader openness is associated with employee voice (Detert &amp; Burris, 2007). Therefore, fostering a culture of integrity should be </w:t>
      </w:r>
      <w:r>
        <w:rPr>
          <w:rFonts w:ascii="Palatino Linotype" w:hAnsi="Palatino Linotype"/>
        </w:rPr>
        <w:t>a priority in engineering education and professional development, and not merely a matter of individual compliance.</w:t>
      </w:r>
    </w:p>
    <w:p w:rsidR="000C35B6" w:rsidRDefault="00E42C47">
      <w:pPr>
        <w:pStyle w:val="BodyText"/>
        <w:keepNext/>
        <w:jc w:val="both"/>
      </w:pPr>
      <w:r>
        <w:rPr>
          <w:rFonts w:ascii="Palatino Linotype" w:hAnsi="Palatino Linotype"/>
          <w:b/>
          <w:i/>
        </w:rPr>
        <w:lastRenderedPageBreak/>
        <w:t>Challenges of Engineering Leadership in the Digital Era</w:t>
      </w:r>
    </w:p>
    <w:p w:rsidR="000C35B6" w:rsidRDefault="00E42C47">
      <w:pPr>
        <w:pStyle w:val="BodyText"/>
        <w:jc w:val="both"/>
      </w:pPr>
      <w:r>
        <w:rPr>
          <w:rFonts w:ascii="Palatino Linotype" w:hAnsi="Palatino Linotype"/>
        </w:rPr>
        <w:t>Digital technological advancements have created a range of new leadership challenges</w:t>
      </w:r>
      <w:r>
        <w:rPr>
          <w:rFonts w:ascii="Palatino Linotype" w:hAnsi="Palatino Linotype"/>
        </w:rPr>
        <w:t>. These include technology risk management, information security, AI-related ethical dilemmas, and the demand for continuous innovation. According to Schwab (2017), the Fourth Industrial Revolution requires leaders who can balance technological progress wi</w:t>
      </w:r>
      <w:r>
        <w:rPr>
          <w:rFonts w:ascii="Palatino Linotype" w:hAnsi="Palatino Linotype"/>
        </w:rPr>
        <w:t>th human well-being. Five clusters of challenges recur in the literature and are discussed below.</w:t>
      </w:r>
    </w:p>
    <w:p w:rsidR="000C35B6" w:rsidRDefault="00E42C47">
      <w:pPr>
        <w:pStyle w:val="BodyText"/>
        <w:keepNext/>
        <w:jc w:val="both"/>
      </w:pPr>
      <w:r>
        <w:rPr>
          <w:rFonts w:ascii="Palatino Linotype" w:hAnsi="Palatino Linotype"/>
          <w:i/>
        </w:rPr>
        <w:t>AI ethics and accountability</w:t>
      </w:r>
    </w:p>
    <w:p w:rsidR="000C35B6" w:rsidRDefault="00E42C47">
      <w:pPr>
        <w:pStyle w:val="BodyText"/>
        <w:jc w:val="both"/>
      </w:pPr>
      <w:r>
        <w:rPr>
          <w:rFonts w:ascii="Palatino Linotype" w:hAnsi="Palatino Linotype"/>
        </w:rPr>
        <w:t>The proliferation of AI ethics principles has not by itself resolved how engineering leaders should act. Floridi et al. (2018) pr</w:t>
      </w:r>
      <w:r>
        <w:rPr>
          <w:rFonts w:ascii="Palatino Linotype" w:hAnsi="Palatino Linotype"/>
        </w:rPr>
        <w:t>opose five principles for a good AI society: beneficence, non-maleficence, autonomy, justice, and explicability. Jobin et al. (2019) observe that although guidelines converge around a small set of principles, they diverge substantially in how those princip</w:t>
      </w:r>
      <w:r>
        <w:rPr>
          <w:rFonts w:ascii="Palatino Linotype" w:hAnsi="Palatino Linotype"/>
        </w:rPr>
        <w:t>les are interpreted and implemented. Hagendorff (2020) argues that many guidelines lack enforcement mechanisms and that aspects which are difficult to operationalize receive less attention. Dignum (2019) responds by framing responsible AI around accountabi</w:t>
      </w:r>
      <w:r>
        <w:rPr>
          <w:rFonts w:ascii="Palatino Linotype" w:hAnsi="Palatino Linotype"/>
        </w:rPr>
        <w:t xml:space="preserve">lity, responsibility, and transparency, emphasizing that these are properties of the sociotechnical system and of the people who govern it, and not only of algorithms. Raji et al. (2020) similarly argue that an accountability gap arises when organizations </w:t>
      </w:r>
      <w:r>
        <w:rPr>
          <w:rFonts w:ascii="Palatino Linotype" w:hAnsi="Palatino Linotype"/>
        </w:rPr>
        <w:t>lack internal processes to audit AI systems across their development lifecycle, and they propose an end-to-end auditing framework. These contributions indicate that engineering leaders are the actors who must translate principles into organizational routin</w:t>
      </w:r>
      <w:r>
        <w:rPr>
          <w:rFonts w:ascii="Palatino Linotype" w:hAnsi="Palatino Linotype"/>
        </w:rPr>
        <w:t>es.</w:t>
      </w:r>
    </w:p>
    <w:p w:rsidR="000C35B6" w:rsidRDefault="00E42C47">
      <w:pPr>
        <w:pStyle w:val="BodyText"/>
        <w:keepNext/>
        <w:jc w:val="both"/>
      </w:pPr>
      <w:r>
        <w:rPr>
          <w:rFonts w:ascii="Palatino Linotype" w:hAnsi="Palatino Linotype"/>
          <w:i/>
        </w:rPr>
        <w:t>Algorithmic bias and fairness</w:t>
      </w:r>
    </w:p>
    <w:p w:rsidR="000C35B6" w:rsidRDefault="00E42C47">
      <w:pPr>
        <w:pStyle w:val="BodyText"/>
        <w:jc w:val="both"/>
      </w:pPr>
      <w:r>
        <w:rPr>
          <w:rFonts w:ascii="Palatino Linotype" w:hAnsi="Palatino Linotype"/>
        </w:rPr>
        <w:t>Algorithmic systems can reproduce or amplify social inequities. Mittelstadt et al. (2016) identify unfair outcomes and inscrutable evidence among the central ethical concerns about algorithms. Obermeyer et al. (2019) showe</w:t>
      </w:r>
      <w:r>
        <w:rPr>
          <w:rFonts w:ascii="Palatino Linotype" w:hAnsi="Palatino Linotype"/>
        </w:rPr>
        <w:t>d that a widely used health-risk algorithm assigned the same risk scores to Black patients who were considerably sicker than White patients, because it used health care costs as a proxy for health needs. Buolamwini and Gebru (2018) found that commercial ge</w:t>
      </w:r>
      <w:r>
        <w:rPr>
          <w:rFonts w:ascii="Palatino Linotype" w:hAnsi="Palatino Linotype"/>
        </w:rPr>
        <w:t>nder-classification systems performed markedly worse for darker-skinned women than for lighter-skinned men. Mehrabi et al. (2021) survey sources of bias in data, algorithms, and user interaction, together with the fairness definitions proposed to address t</w:t>
      </w:r>
      <w:r>
        <w:rPr>
          <w:rFonts w:ascii="Palatino Linotype" w:hAnsi="Palatino Linotype"/>
        </w:rPr>
        <w:t>hem. Such cases show that fairness failures often originate in seemingly neutral engineering choices, such as the selection of a target variable or a training data set, which leaders are responsible for scrutinizing.</w:t>
      </w:r>
    </w:p>
    <w:p w:rsidR="000C35B6" w:rsidRDefault="00E42C47">
      <w:pPr>
        <w:pStyle w:val="BodyText"/>
        <w:keepNext/>
        <w:jc w:val="both"/>
      </w:pPr>
      <w:r>
        <w:rPr>
          <w:rFonts w:ascii="Palatino Linotype" w:hAnsi="Palatino Linotype"/>
          <w:i/>
        </w:rPr>
        <w:lastRenderedPageBreak/>
        <w:t>Data privacy, security, and regulation</w:t>
      </w:r>
    </w:p>
    <w:p w:rsidR="000C35B6" w:rsidRDefault="00E42C47">
      <w:pPr>
        <w:pStyle w:val="BodyText"/>
        <w:jc w:val="both"/>
      </w:pPr>
      <w:r>
        <w:rPr>
          <w:rFonts w:ascii="Palatino Linotype" w:hAnsi="Palatino Linotype"/>
        </w:rPr>
        <w:t>Data-driven business models intensify privacy and security concerns. Zuboff (2019) describes surveillance capitalism as an economic logic that extracts behavioral data at scale, raising questions about autonomy and consent. Regulation is tightening in resp</w:t>
      </w:r>
      <w:r>
        <w:rPr>
          <w:rFonts w:ascii="Palatino Linotype" w:hAnsi="Palatino Linotype"/>
        </w:rPr>
        <w:t>onse. In Malaysia, the Personal Data Protection Act 2010 (Act 709) was amended by the Personal Data Protection (Amendment) Act 2024 (Act A1727), whose phased commencement in 2025 introduced, among other changes, the mandatory appointment of data protection</w:t>
      </w:r>
      <w:r>
        <w:rPr>
          <w:rFonts w:ascii="Palatino Linotype" w:hAnsi="Palatino Linotype"/>
        </w:rPr>
        <w:t xml:space="preserve"> officers and mandatory notification of personal data breaches for data controllers (Government of Malaysia, 2010, 2024). In the European Union, Regulation (EU) 2024/1689 adopts a risk-based approach to AI that imposes obligations in proportion to the risk</w:t>
      </w:r>
      <w:r>
        <w:rPr>
          <w:rFonts w:ascii="Palatino Linotype" w:hAnsi="Palatino Linotype"/>
        </w:rPr>
        <w:t xml:space="preserve"> a system poses (European Union, 2024). Compliance, however, sets only a minimum. Engineers who design systems may recognize risks before regulators do, and their willingness to disclose and mitigate those risks depends on professional integrity and organi</w:t>
      </w:r>
      <w:r>
        <w:rPr>
          <w:rFonts w:ascii="Palatino Linotype" w:hAnsi="Palatino Linotype"/>
        </w:rPr>
        <w:t>zational support.</w:t>
      </w:r>
    </w:p>
    <w:p w:rsidR="000C35B6" w:rsidRDefault="00E42C47">
      <w:pPr>
        <w:pStyle w:val="BodyText"/>
        <w:keepNext/>
        <w:jc w:val="both"/>
      </w:pPr>
      <w:r>
        <w:rPr>
          <w:rFonts w:ascii="Palatino Linotype" w:hAnsi="Palatino Linotype"/>
          <w:i/>
        </w:rPr>
        <w:t>Sustainability and societal impact</w:t>
      </w:r>
    </w:p>
    <w:p w:rsidR="000C35B6" w:rsidRDefault="00E42C47">
      <w:pPr>
        <w:pStyle w:val="BodyText"/>
        <w:jc w:val="both"/>
      </w:pPr>
      <w:r>
        <w:rPr>
          <w:rFonts w:ascii="Palatino Linotype" w:hAnsi="Palatino Linotype"/>
        </w:rPr>
        <w:t xml:space="preserve">Digital innovation must also be reconciled with sustainable development. The Brundtland Commission defined sustainable development as development that meets the needs of the present without compromising </w:t>
      </w:r>
      <w:r>
        <w:rPr>
          <w:rFonts w:ascii="Palatino Linotype" w:hAnsi="Palatino Linotype"/>
        </w:rPr>
        <w:t>the ability of future generations to meet their own (World Commission on Environment and Development, 1987). The 2030 Agenda adopted by the United Nations (2015) translates this idea into seventeen Sustainable Development Goals, including goals on industry</w:t>
      </w:r>
      <w:r>
        <w:rPr>
          <w:rFonts w:ascii="Palatino Linotype" w:hAnsi="Palatino Linotype"/>
        </w:rPr>
        <w:t xml:space="preserve">, innovation, and infrastructure and on responsible consumption and production. For engineering leaders, technological sustainability therefore entails assessing environmental and social consequences across the life cycle of systems rather than optimizing </w:t>
      </w:r>
      <w:r>
        <w:rPr>
          <w:rFonts w:ascii="Palatino Linotype" w:hAnsi="Palatino Linotype"/>
        </w:rPr>
        <w:t>short-term performance alone.</w:t>
      </w:r>
    </w:p>
    <w:p w:rsidR="000C35B6" w:rsidRDefault="00E42C47">
      <w:pPr>
        <w:pStyle w:val="BodyText"/>
        <w:keepNext/>
        <w:jc w:val="both"/>
      </w:pPr>
      <w:r>
        <w:rPr>
          <w:rFonts w:ascii="Palatino Linotype" w:hAnsi="Palatino Linotype"/>
          <w:i/>
        </w:rPr>
        <w:t>Organizational pressures, diversity, and global competition</w:t>
      </w:r>
    </w:p>
    <w:p w:rsidR="000C35B6" w:rsidRDefault="00E42C47">
      <w:pPr>
        <w:pStyle w:val="BodyText"/>
        <w:jc w:val="both"/>
      </w:pPr>
      <w:r>
        <w:rPr>
          <w:rFonts w:ascii="Palatino Linotype" w:hAnsi="Palatino Linotype"/>
        </w:rPr>
        <w:t>Engineering leaders must also manage workforce diversity, organizational cultural changes, and increasing global competition. Competitive and schedule pressure can er</w:t>
      </w:r>
      <w:r>
        <w:rPr>
          <w:rFonts w:ascii="Palatino Linotype" w:hAnsi="Palatino Linotype"/>
        </w:rPr>
        <w:t>ode ethical decision-making, as the Challenger and 737 MAX cases suggest (Herkert et al., 2020; Vaughan, 1996). At the same time, diverse workforces require inclusive leadership: Shore et al. (2011) define inclusion in terms of employees’ simultaneous need</w:t>
      </w:r>
      <w:r>
        <w:rPr>
          <w:rFonts w:ascii="Palatino Linotype" w:hAnsi="Palatino Linotype"/>
        </w:rPr>
        <w:t>s for belongingness and uniqueness and review how work-group practices can satisfy both. These circumstances further highlight the importance of values-based leadership as a guide for navigating complex decision-making environments.</w:t>
      </w:r>
    </w:p>
    <w:p w:rsidR="000C35B6" w:rsidRDefault="00E42C47">
      <w:pPr>
        <w:pStyle w:val="BodyText"/>
        <w:keepNext/>
        <w:jc w:val="both"/>
      </w:pPr>
      <w:r>
        <w:rPr>
          <w:rFonts w:ascii="Palatino Linotype" w:hAnsi="Palatino Linotype"/>
          <w:b/>
          <w:i/>
        </w:rPr>
        <w:lastRenderedPageBreak/>
        <w:t>Responsible Innovation</w:t>
      </w:r>
    </w:p>
    <w:p w:rsidR="000C35B6" w:rsidRDefault="00E42C47">
      <w:pPr>
        <w:pStyle w:val="BodyText"/>
        <w:jc w:val="both"/>
      </w:pPr>
      <w:r>
        <w:rPr>
          <w:rFonts w:ascii="Palatino Linotype" w:hAnsi="Palatino Linotype"/>
        </w:rPr>
        <w:t>A related body of work offers a process-oriented lens. Stilgoe et al. (2013) propose a framework for responsible innovation built on four dimensions: anticipation of possible impacts, reflexivity about assumptions and purposes, inclusion of a broader range</w:t>
      </w:r>
      <w:r>
        <w:rPr>
          <w:rFonts w:ascii="Palatino Linotype" w:hAnsi="Palatino Linotype"/>
        </w:rPr>
        <w:t xml:space="preserve"> of stakeholders in deliberation, and responsiveness to emerging knowledge and public concerns. Von Schomberg (2013) describes responsible research and innovation as a transparent, interactive process in which societal actors and innovators become mutually</w:t>
      </w:r>
      <w:r>
        <w:rPr>
          <w:rFonts w:ascii="Palatino Linotype" w:hAnsi="Palatino Linotype"/>
        </w:rPr>
        <w:t xml:space="preserve"> responsive with a view to the ethical acceptability, sustainability, and societal desirability of innovation. These dimensions complement the stakeholder orientation of responsible leadership (Maak &amp; Pless, 2006) and offer engineering leaders concrete pra</w:t>
      </w:r>
      <w:r>
        <w:rPr>
          <w:rFonts w:ascii="Palatino Linotype" w:hAnsi="Palatino Linotype"/>
        </w:rPr>
        <w:t>ctices through which values can be expressed in project governance.</w:t>
      </w:r>
    </w:p>
    <w:p w:rsidR="000C35B6" w:rsidRDefault="00E42C47">
      <w:pPr>
        <w:pStyle w:val="BodyText"/>
        <w:keepNext/>
        <w:jc w:val="both"/>
      </w:pPr>
      <w:r>
        <w:rPr>
          <w:rFonts w:ascii="Palatino Linotype" w:hAnsi="Palatino Linotype"/>
          <w:b/>
          <w:i/>
        </w:rPr>
        <w:t>Malaysian and Islamic Ethical Perspectives</w:t>
      </w:r>
    </w:p>
    <w:p w:rsidR="000C35B6" w:rsidRDefault="00E42C47">
      <w:pPr>
        <w:pStyle w:val="BodyText"/>
        <w:jc w:val="both"/>
      </w:pPr>
      <w:r>
        <w:rPr>
          <w:rFonts w:ascii="Palatino Linotype" w:hAnsi="Palatino Linotype"/>
        </w:rPr>
        <w:t xml:space="preserve">Because engineering leaders operate within cultural contexts, local ethical traditions deserve attention. Malaysia’s National Integrity Plan was </w:t>
      </w:r>
      <w:r>
        <w:rPr>
          <w:rFonts w:ascii="Palatino Linotype" w:hAnsi="Palatino Linotype"/>
        </w:rPr>
        <w:t>introduced to strengthen ethical values and integrity across society (Malaysian Integrity Institute, 2004), and the National 4IR Policy explicitly links technological transformation to ethical use and a humanity-centred approach (Economic Planning Unit, 20</w:t>
      </w:r>
      <w:r>
        <w:rPr>
          <w:rFonts w:ascii="Palatino Linotype" w:hAnsi="Palatino Linotype"/>
        </w:rPr>
        <w:t>21). In the Islamic ethical tradition, which is influential in Malaysian public life, leadership is framed in terms of trust, justice, and accountability. Beekun and Badawi (2005) examine the Islamic perspective on balancing ethical responsibility among mu</w:t>
      </w:r>
      <w:r>
        <w:rPr>
          <w:rFonts w:ascii="Palatino Linotype" w:hAnsi="Palatino Linotype"/>
        </w:rPr>
        <w:t>ltiple organizational stakeholders, an orientation that resonates with stakeholder-based views of responsible leadership. Ali and Al-Owaihan (2008) review the Islamic work ethic and its emphasis on cooperation, dedication to work, and fairness in dealings.</w:t>
      </w:r>
      <w:r>
        <w:rPr>
          <w:rFonts w:ascii="Palatino Linotype" w:hAnsi="Palatino Linotype"/>
        </w:rPr>
        <w:t xml:space="preserve"> The concept of </w:t>
      </w:r>
      <w:r>
        <w:rPr>
          <w:rFonts w:ascii="Palatino Linotype" w:hAnsi="Palatino Linotype"/>
          <w:i/>
        </w:rPr>
        <w:t>amanah</w:t>
      </w:r>
      <w:r>
        <w:rPr>
          <w:rFonts w:ascii="Palatino Linotype" w:hAnsi="Palatino Linotype"/>
        </w:rPr>
        <w:t>, understood as trust or stewardship, is thus readily aligned with the notions of trustworthiness and accountability that appear in international engineering codes. Nevertheless, the empirical relationship between such values and engi</w:t>
      </w:r>
      <w:r>
        <w:rPr>
          <w:rFonts w:ascii="Palatino Linotype" w:hAnsi="Palatino Linotype"/>
        </w:rPr>
        <w:t>neering leadership outcomes remains underexplored, and the present article treats these traditions as a complementary source of meaning rather than as a separate model.</w:t>
      </w:r>
    </w:p>
    <w:p w:rsidR="000C35B6" w:rsidRDefault="00E42C47">
      <w:pPr>
        <w:pStyle w:val="BodyText"/>
        <w:keepNext/>
        <w:jc w:val="both"/>
      </w:pPr>
      <w:r>
        <w:rPr>
          <w:rFonts w:ascii="Palatino Linotype" w:hAnsi="Palatino Linotype"/>
          <w:b/>
        </w:rPr>
        <w:t>Methodology</w:t>
      </w:r>
    </w:p>
    <w:p w:rsidR="000C35B6" w:rsidRDefault="00E42C47">
      <w:pPr>
        <w:pStyle w:val="BodyText"/>
        <w:jc w:val="both"/>
      </w:pPr>
      <w:r>
        <w:rPr>
          <w:rFonts w:ascii="Palatino Linotype" w:hAnsi="Palatino Linotype"/>
        </w:rPr>
        <w:t>This study adopts a qualitative conceptual review approach. Conceptual arti</w:t>
      </w:r>
      <w:r>
        <w:rPr>
          <w:rFonts w:ascii="Palatino Linotype" w:hAnsi="Palatino Linotype"/>
        </w:rPr>
        <w:t>cles aim to build theoretical understanding by synthesizing existing knowledge and proposing relationships among constructs, rather than by testing hypotheses with new data (Jaakkola, 2020), and integrative literature review is an established method for sy</w:t>
      </w:r>
      <w:r>
        <w:rPr>
          <w:rFonts w:ascii="Palatino Linotype" w:hAnsi="Palatino Linotype"/>
        </w:rPr>
        <w:t>nthesizing perspectives across fragmented bodies of research (Snyder, 2019). Data were collected through document analysis (Bowen, 2009) and a comprehensive review of academic journal articles, scholarly books, professional reports, codes of ethics, and po</w:t>
      </w:r>
      <w:r>
        <w:rPr>
          <w:rFonts w:ascii="Palatino Linotype" w:hAnsi="Palatino Linotype"/>
        </w:rPr>
        <w:t>licy documents related to leadership, ethics, and engineering.</w:t>
      </w:r>
    </w:p>
    <w:p w:rsidR="000C35B6" w:rsidRDefault="00E42C47">
      <w:pPr>
        <w:pStyle w:val="BodyText"/>
        <w:jc w:val="both"/>
      </w:pPr>
      <w:r>
        <w:rPr>
          <w:rFonts w:ascii="Palatino Linotype" w:hAnsi="Palatino Linotype"/>
        </w:rPr>
        <w:lastRenderedPageBreak/>
        <w:t xml:space="preserve">The analysis was conducted in three stages, following guidance for structured and concept-centric literature reviews (Webster &amp; Watson, 2002). First, relevant sources on engineering leadership </w:t>
      </w:r>
      <w:r>
        <w:rPr>
          <w:rFonts w:ascii="Palatino Linotype" w:hAnsi="Palatino Linotype"/>
        </w:rPr>
        <w:t>and professional ethics were identified and collected. Second, major themes were categorized based on values, integrity, and digital transformation concepts, drawing on the logic of thematic analysis (Braun &amp; Clarke, 2006) to move from recurring descriptio</w:t>
      </w:r>
      <w:r>
        <w:rPr>
          <w:rFonts w:ascii="Palatino Linotype" w:hAnsi="Palatino Linotype"/>
        </w:rPr>
        <w:t>ns to named themes. Third, the literature was synthesized to develop a conceptual framework for values-based engineering leadership.</w:t>
      </w:r>
    </w:p>
    <w:p w:rsidR="000C35B6" w:rsidRDefault="00E42C47">
      <w:pPr>
        <w:pStyle w:val="BodyText"/>
        <w:jc w:val="both"/>
      </w:pPr>
      <w:r>
        <w:rPr>
          <w:rFonts w:ascii="Palatino Linotype" w:hAnsi="Palatino Linotype"/>
        </w:rPr>
        <w:t xml:space="preserve">This approach is appropriate because it enables researchers to develop a comprehensive understanding of the relationship between leadership, technology, and values within the context of modern organizational development. Sources were prioritized when they </w:t>
      </w:r>
      <w:r>
        <w:rPr>
          <w:rFonts w:ascii="Palatino Linotype" w:hAnsi="Palatino Linotype"/>
        </w:rPr>
        <w:t xml:space="preserve">were peer-reviewed, issued by recognized professional or governmental bodies, or widely cited foundational texts. As with any conceptual review, the findings reflect the sources that were selected and the interpretive judgments of the authors; they should </w:t>
      </w:r>
      <w:r>
        <w:rPr>
          <w:rFonts w:ascii="Palatino Linotype" w:hAnsi="Palatino Linotype"/>
        </w:rPr>
        <w:t>therefore be read as a theoretically grounded proposal that requires empirical validation.</w:t>
      </w:r>
    </w:p>
    <w:p w:rsidR="000C35B6" w:rsidRDefault="00E42C47">
      <w:pPr>
        <w:pStyle w:val="BodyText"/>
        <w:keepNext/>
        <w:jc w:val="both"/>
      </w:pPr>
      <w:r>
        <w:rPr>
          <w:rFonts w:ascii="Palatino Linotype" w:hAnsi="Palatino Linotype"/>
          <w:b/>
        </w:rPr>
        <w:t>Findings and Discussion</w:t>
      </w:r>
    </w:p>
    <w:p w:rsidR="000C35B6" w:rsidRDefault="00E42C47">
      <w:pPr>
        <w:pStyle w:val="BodyText"/>
        <w:jc w:val="both"/>
      </w:pPr>
      <w:r>
        <w:rPr>
          <w:rFonts w:ascii="Palatino Linotype" w:hAnsi="Palatino Linotype"/>
        </w:rPr>
        <w:t>The literature review identified five key elements that form the foundation of values-based engineering leadership: trustworthiness, integrit</w:t>
      </w:r>
      <w:r>
        <w:rPr>
          <w:rFonts w:ascii="Palatino Linotype" w:hAnsi="Palatino Linotype"/>
        </w:rPr>
        <w:t>y, accountability, fairness, and social responsibility. Table 1 summarizes each element and its expression in digital-era engineering practice, and the subsections below discuss them in turn.</w:t>
      </w:r>
    </w:p>
    <w:p w:rsidR="000C35B6" w:rsidRDefault="00E42C47">
      <w:pPr>
        <w:pStyle w:val="BodyText"/>
        <w:keepNext/>
        <w:spacing w:before="120" w:after="60"/>
      </w:pPr>
      <w:r>
        <w:rPr>
          <w:rFonts w:ascii="Palatino Linotype" w:hAnsi="Palatino Linotype"/>
          <w:b/>
        </w:rPr>
        <w:t>Table 1.</w:t>
      </w:r>
      <w:r>
        <w:rPr>
          <w:rFonts w:ascii="Palatino Linotype" w:hAnsi="Palatino Linotype"/>
          <w:i/>
        </w:rPr>
        <w:t xml:space="preserve"> Core Values of Values-Based Engineering Leadership in t</w:t>
      </w:r>
      <w:r>
        <w:rPr>
          <w:rFonts w:ascii="Palatino Linotype" w:hAnsi="Palatino Linotype"/>
          <w:i/>
        </w:rPr>
        <w:t>he Digital Era</w:t>
      </w:r>
    </w:p>
    <w:tbl>
      <w:tblPr>
        <w:tblW w:w="9360" w:type="dxa"/>
        <w:tblBorders>
          <w:top w:val="single" w:sz="8" w:space="0" w:color="000000"/>
          <w:bottom w:val="single" w:sz="8" w:space="0" w:color="000000"/>
          <w:insideH w:val="single" w:sz="4" w:space="0" w:color="BFBFBF"/>
        </w:tblBorders>
        <w:tblLayout w:type="fixed"/>
        <w:tblCellMar>
          <w:top w:w="40" w:type="dxa"/>
          <w:left w:w="90" w:type="dxa"/>
          <w:bottom w:w="40" w:type="dxa"/>
          <w:right w:w="90" w:type="dxa"/>
        </w:tblCellMar>
        <w:tblLook w:val="04A0" w:firstRow="1" w:lastRow="0" w:firstColumn="1" w:lastColumn="0" w:noHBand="0" w:noVBand="1"/>
      </w:tblPr>
      <w:tblGrid>
        <w:gridCol w:w="1450"/>
        <w:gridCol w:w="2350"/>
        <w:gridCol w:w="3100"/>
        <w:gridCol w:w="2460"/>
      </w:tblGrid>
      <w:tr w:rsidR="000C35B6">
        <w:trPr>
          <w:cantSplit/>
          <w:tblHeader/>
        </w:trPr>
        <w:tc>
          <w:tcPr>
            <w:tcW w:w="1450" w:type="dxa"/>
            <w:shd w:val="clear" w:color="auto" w:fill="E8ECF3"/>
          </w:tcPr>
          <w:p w:rsidR="000C35B6" w:rsidRDefault="00E42C47">
            <w:pPr>
              <w:pStyle w:val="BodyText"/>
              <w:spacing w:before="20" w:after="20"/>
            </w:pPr>
            <w:r>
              <w:rPr>
                <w:rFonts w:ascii="Palatino Linotype" w:hAnsi="Palatino Linotype"/>
                <w:b/>
                <w:sz w:val="19"/>
                <w:szCs w:val="19"/>
              </w:rPr>
              <w:t>Core value</w:t>
            </w:r>
          </w:p>
        </w:tc>
        <w:tc>
          <w:tcPr>
            <w:tcW w:w="2350" w:type="dxa"/>
            <w:shd w:val="clear" w:color="auto" w:fill="E8ECF3"/>
          </w:tcPr>
          <w:p w:rsidR="000C35B6" w:rsidRDefault="00E42C47">
            <w:pPr>
              <w:pStyle w:val="BodyText"/>
              <w:spacing w:before="20" w:after="20"/>
            </w:pPr>
            <w:r>
              <w:rPr>
                <w:rFonts w:ascii="Palatino Linotype" w:hAnsi="Palatino Linotype"/>
                <w:b/>
                <w:sz w:val="19"/>
                <w:szCs w:val="19"/>
              </w:rPr>
              <w:t>Leadership meaning</w:t>
            </w:r>
          </w:p>
        </w:tc>
        <w:tc>
          <w:tcPr>
            <w:tcW w:w="3100" w:type="dxa"/>
            <w:shd w:val="clear" w:color="auto" w:fill="E8ECF3"/>
          </w:tcPr>
          <w:p w:rsidR="000C35B6" w:rsidRDefault="00E42C47">
            <w:pPr>
              <w:pStyle w:val="BodyText"/>
              <w:spacing w:before="20" w:after="20"/>
            </w:pPr>
            <w:r>
              <w:rPr>
                <w:rFonts w:ascii="Palatino Linotype" w:hAnsi="Palatino Linotype"/>
                <w:b/>
                <w:sz w:val="19"/>
                <w:szCs w:val="19"/>
              </w:rPr>
              <w:t>Digital-era engineering expression</w:t>
            </w:r>
          </w:p>
        </w:tc>
        <w:tc>
          <w:tcPr>
            <w:tcW w:w="2460" w:type="dxa"/>
            <w:shd w:val="clear" w:color="auto" w:fill="E8ECF3"/>
          </w:tcPr>
          <w:p w:rsidR="000C35B6" w:rsidRDefault="00E42C47">
            <w:pPr>
              <w:pStyle w:val="BodyText"/>
              <w:spacing w:before="20" w:after="20"/>
            </w:pPr>
            <w:r>
              <w:rPr>
                <w:rFonts w:ascii="Palatino Linotype" w:hAnsi="Palatino Linotype"/>
                <w:b/>
                <w:sz w:val="19"/>
                <w:szCs w:val="19"/>
              </w:rPr>
              <w:t>Key sources</w:t>
            </w:r>
          </w:p>
        </w:tc>
      </w:tr>
      <w:tr w:rsidR="000C35B6">
        <w:trPr>
          <w:cantSplit/>
        </w:trPr>
        <w:tc>
          <w:tcPr>
            <w:tcW w:w="1450" w:type="dxa"/>
          </w:tcPr>
          <w:p w:rsidR="000C35B6" w:rsidRDefault="00E42C47">
            <w:pPr>
              <w:pStyle w:val="BodyText"/>
              <w:spacing w:before="20" w:after="20"/>
            </w:pPr>
            <w:r>
              <w:rPr>
                <w:rFonts w:ascii="Palatino Linotype" w:hAnsi="Palatino Linotype"/>
                <w:sz w:val="19"/>
                <w:szCs w:val="19"/>
              </w:rPr>
              <w:t>Trustworthiness</w:t>
            </w:r>
          </w:p>
        </w:tc>
        <w:tc>
          <w:tcPr>
            <w:tcW w:w="2350" w:type="dxa"/>
          </w:tcPr>
          <w:p w:rsidR="000C35B6" w:rsidRDefault="00E42C47">
            <w:pPr>
              <w:pStyle w:val="BodyText"/>
              <w:spacing w:before="20" w:after="20"/>
            </w:pPr>
            <w:r>
              <w:rPr>
                <w:rFonts w:ascii="Palatino Linotype" w:hAnsi="Palatino Linotype"/>
                <w:sz w:val="19"/>
                <w:szCs w:val="19"/>
              </w:rPr>
              <w:t>Competence, benevolence, and integrity that stakeholders can rely on</w:t>
            </w:r>
          </w:p>
        </w:tc>
        <w:tc>
          <w:tcPr>
            <w:tcW w:w="3100" w:type="dxa"/>
          </w:tcPr>
          <w:p w:rsidR="000C35B6" w:rsidRDefault="00E42C47">
            <w:pPr>
              <w:pStyle w:val="BodyText"/>
              <w:spacing w:before="20" w:after="20"/>
            </w:pPr>
            <w:r>
              <w:rPr>
                <w:rFonts w:ascii="Palatino Linotype" w:hAnsi="Palatino Linotype"/>
                <w:sz w:val="19"/>
                <w:szCs w:val="19"/>
              </w:rPr>
              <w:t>Safe and explicable systems; honest communication of limits and risks</w:t>
            </w:r>
          </w:p>
        </w:tc>
        <w:tc>
          <w:tcPr>
            <w:tcW w:w="2460" w:type="dxa"/>
          </w:tcPr>
          <w:p w:rsidR="000C35B6" w:rsidRDefault="00E42C47">
            <w:pPr>
              <w:pStyle w:val="BodyText"/>
              <w:spacing w:before="20" w:after="20"/>
            </w:pPr>
            <w:r>
              <w:rPr>
                <w:rFonts w:ascii="Palatino Linotype" w:hAnsi="Palatino Linotype"/>
                <w:sz w:val="19"/>
                <w:szCs w:val="19"/>
              </w:rPr>
              <w:t>Mayer et al. (1995); Dirks &amp; Ferrin (2002); Floridi et al. (2018)</w:t>
            </w:r>
          </w:p>
        </w:tc>
      </w:tr>
      <w:tr w:rsidR="000C35B6">
        <w:trPr>
          <w:cantSplit/>
        </w:trPr>
        <w:tc>
          <w:tcPr>
            <w:tcW w:w="1450" w:type="dxa"/>
          </w:tcPr>
          <w:p w:rsidR="000C35B6" w:rsidRDefault="00E42C47">
            <w:pPr>
              <w:pStyle w:val="BodyText"/>
              <w:spacing w:before="20" w:after="20"/>
            </w:pPr>
            <w:r>
              <w:rPr>
                <w:rFonts w:ascii="Palatino Linotype" w:hAnsi="Palatino Linotype"/>
                <w:sz w:val="19"/>
                <w:szCs w:val="19"/>
              </w:rPr>
              <w:t>Integrity</w:t>
            </w:r>
          </w:p>
        </w:tc>
        <w:tc>
          <w:tcPr>
            <w:tcW w:w="2350" w:type="dxa"/>
          </w:tcPr>
          <w:p w:rsidR="000C35B6" w:rsidRDefault="00E42C47">
            <w:pPr>
              <w:pStyle w:val="BodyText"/>
              <w:spacing w:before="20" w:after="20"/>
            </w:pPr>
            <w:r>
              <w:rPr>
                <w:rFonts w:ascii="Palatino Linotype" w:hAnsi="Palatino Linotype"/>
                <w:sz w:val="19"/>
                <w:szCs w:val="19"/>
              </w:rPr>
              <w:t>Consistency between values, principles, and actions</w:t>
            </w:r>
          </w:p>
        </w:tc>
        <w:tc>
          <w:tcPr>
            <w:tcW w:w="3100" w:type="dxa"/>
          </w:tcPr>
          <w:p w:rsidR="000C35B6" w:rsidRDefault="00E42C47">
            <w:pPr>
              <w:pStyle w:val="BodyText"/>
              <w:spacing w:before="20" w:after="20"/>
            </w:pPr>
            <w:r>
              <w:rPr>
                <w:rFonts w:ascii="Palatino Linotype" w:hAnsi="Palatino Linotype"/>
                <w:sz w:val="19"/>
                <w:szCs w:val="19"/>
              </w:rPr>
              <w:t>Resisting schedule and cost pressure; avoiding conflicts of interest</w:t>
            </w:r>
          </w:p>
        </w:tc>
        <w:tc>
          <w:tcPr>
            <w:tcW w:w="2460" w:type="dxa"/>
          </w:tcPr>
          <w:p w:rsidR="000C35B6" w:rsidRDefault="00E42C47">
            <w:pPr>
              <w:pStyle w:val="BodyText"/>
              <w:spacing w:before="20" w:after="20"/>
            </w:pPr>
            <w:r>
              <w:rPr>
                <w:rFonts w:ascii="Palatino Linotype" w:hAnsi="Palatino Linotype"/>
                <w:sz w:val="19"/>
                <w:szCs w:val="19"/>
              </w:rPr>
              <w:t>Treviño et al. (2000); Avolio &amp; Gardner (2005); NSPE (2019)</w:t>
            </w:r>
          </w:p>
        </w:tc>
      </w:tr>
      <w:tr w:rsidR="000C35B6">
        <w:trPr>
          <w:cantSplit/>
        </w:trPr>
        <w:tc>
          <w:tcPr>
            <w:tcW w:w="1450" w:type="dxa"/>
          </w:tcPr>
          <w:p w:rsidR="000C35B6" w:rsidRDefault="00E42C47">
            <w:pPr>
              <w:pStyle w:val="BodyText"/>
              <w:spacing w:before="20" w:after="20"/>
            </w:pPr>
            <w:r>
              <w:rPr>
                <w:rFonts w:ascii="Palatino Linotype" w:hAnsi="Palatino Linotype"/>
                <w:sz w:val="19"/>
                <w:szCs w:val="19"/>
              </w:rPr>
              <w:t>Accountability</w:t>
            </w:r>
          </w:p>
        </w:tc>
        <w:tc>
          <w:tcPr>
            <w:tcW w:w="2350" w:type="dxa"/>
          </w:tcPr>
          <w:p w:rsidR="000C35B6" w:rsidRDefault="00E42C47">
            <w:pPr>
              <w:pStyle w:val="BodyText"/>
              <w:spacing w:before="20" w:after="20"/>
            </w:pPr>
            <w:r>
              <w:rPr>
                <w:rFonts w:ascii="Palatino Linotype" w:hAnsi="Palatino Linotype"/>
                <w:sz w:val="19"/>
                <w:szCs w:val="19"/>
              </w:rPr>
              <w:t>Answerability for decisions and outcomes</w:t>
            </w:r>
          </w:p>
        </w:tc>
        <w:tc>
          <w:tcPr>
            <w:tcW w:w="3100" w:type="dxa"/>
          </w:tcPr>
          <w:p w:rsidR="000C35B6" w:rsidRDefault="00E42C47">
            <w:pPr>
              <w:pStyle w:val="BodyText"/>
              <w:spacing w:before="20" w:after="20"/>
            </w:pPr>
            <w:r>
              <w:rPr>
                <w:rFonts w:ascii="Palatino Linotype" w:hAnsi="Palatino Linotype"/>
                <w:sz w:val="19"/>
                <w:szCs w:val="19"/>
              </w:rPr>
              <w:t>Clear ownership of risk decisions; algorithmic auditing and traceability</w:t>
            </w:r>
          </w:p>
        </w:tc>
        <w:tc>
          <w:tcPr>
            <w:tcW w:w="2460" w:type="dxa"/>
          </w:tcPr>
          <w:p w:rsidR="000C35B6" w:rsidRDefault="00E42C47">
            <w:pPr>
              <w:pStyle w:val="BodyText"/>
              <w:spacing w:before="20" w:after="20"/>
            </w:pPr>
            <w:r>
              <w:rPr>
                <w:rFonts w:ascii="Palatino Linotype" w:hAnsi="Palatino Linotype"/>
                <w:sz w:val="19"/>
                <w:szCs w:val="19"/>
              </w:rPr>
              <w:t>Dignum (2019); Raji et al. (2020); Mittelstadt et al. (2016)</w:t>
            </w:r>
          </w:p>
        </w:tc>
      </w:tr>
      <w:tr w:rsidR="000C35B6">
        <w:trPr>
          <w:cantSplit/>
        </w:trPr>
        <w:tc>
          <w:tcPr>
            <w:tcW w:w="1450" w:type="dxa"/>
          </w:tcPr>
          <w:p w:rsidR="000C35B6" w:rsidRDefault="00E42C47">
            <w:pPr>
              <w:pStyle w:val="BodyText"/>
              <w:spacing w:before="20" w:after="20"/>
            </w:pPr>
            <w:r>
              <w:rPr>
                <w:rFonts w:ascii="Palatino Linotype" w:hAnsi="Palatino Linotype"/>
                <w:sz w:val="19"/>
                <w:szCs w:val="19"/>
              </w:rPr>
              <w:t>Fair</w:t>
            </w:r>
            <w:r>
              <w:rPr>
                <w:rFonts w:ascii="Palatino Linotype" w:hAnsi="Palatino Linotype"/>
                <w:sz w:val="19"/>
                <w:szCs w:val="19"/>
              </w:rPr>
              <w:t>ness</w:t>
            </w:r>
          </w:p>
        </w:tc>
        <w:tc>
          <w:tcPr>
            <w:tcW w:w="2350" w:type="dxa"/>
          </w:tcPr>
          <w:p w:rsidR="000C35B6" w:rsidRDefault="00E42C47">
            <w:pPr>
              <w:pStyle w:val="BodyText"/>
              <w:spacing w:before="20" w:after="20"/>
            </w:pPr>
            <w:r>
              <w:rPr>
                <w:rFonts w:ascii="Palatino Linotype" w:hAnsi="Palatino Linotype"/>
                <w:sz w:val="19"/>
                <w:szCs w:val="19"/>
              </w:rPr>
              <w:t>Just, transparent, and inclusive decision-making</w:t>
            </w:r>
          </w:p>
        </w:tc>
        <w:tc>
          <w:tcPr>
            <w:tcW w:w="3100" w:type="dxa"/>
          </w:tcPr>
          <w:p w:rsidR="000C35B6" w:rsidRDefault="00E42C47">
            <w:pPr>
              <w:pStyle w:val="BodyText"/>
              <w:spacing w:before="20" w:after="20"/>
            </w:pPr>
            <w:r>
              <w:rPr>
                <w:rFonts w:ascii="Palatino Linotype" w:hAnsi="Palatino Linotype"/>
                <w:sz w:val="19"/>
                <w:szCs w:val="19"/>
              </w:rPr>
              <w:t>Bias testing across groups; inclusive teams and processes</w:t>
            </w:r>
          </w:p>
        </w:tc>
        <w:tc>
          <w:tcPr>
            <w:tcW w:w="2460" w:type="dxa"/>
          </w:tcPr>
          <w:p w:rsidR="000C35B6" w:rsidRDefault="00E42C47">
            <w:pPr>
              <w:pStyle w:val="BodyText"/>
              <w:spacing w:before="20" w:after="20"/>
            </w:pPr>
            <w:r>
              <w:rPr>
                <w:rFonts w:ascii="Palatino Linotype" w:hAnsi="Palatino Linotype"/>
                <w:sz w:val="19"/>
                <w:szCs w:val="19"/>
              </w:rPr>
              <w:t>Obermeyer et al. (2019); Mehrabi et al. (2021); Shore et al. (2011)</w:t>
            </w:r>
          </w:p>
        </w:tc>
      </w:tr>
      <w:tr w:rsidR="000C35B6">
        <w:trPr>
          <w:cantSplit/>
        </w:trPr>
        <w:tc>
          <w:tcPr>
            <w:tcW w:w="1450" w:type="dxa"/>
          </w:tcPr>
          <w:p w:rsidR="000C35B6" w:rsidRDefault="00E42C47">
            <w:pPr>
              <w:pStyle w:val="BodyText"/>
              <w:spacing w:before="20" w:after="20"/>
            </w:pPr>
            <w:r>
              <w:rPr>
                <w:rFonts w:ascii="Palatino Linotype" w:hAnsi="Palatino Linotype"/>
                <w:sz w:val="19"/>
                <w:szCs w:val="19"/>
              </w:rPr>
              <w:t>Social responsibility</w:t>
            </w:r>
          </w:p>
        </w:tc>
        <w:tc>
          <w:tcPr>
            <w:tcW w:w="2350" w:type="dxa"/>
          </w:tcPr>
          <w:p w:rsidR="000C35B6" w:rsidRDefault="00E42C47">
            <w:pPr>
              <w:pStyle w:val="BodyText"/>
              <w:spacing w:before="20" w:after="20"/>
            </w:pPr>
            <w:r>
              <w:rPr>
                <w:rFonts w:ascii="Palatino Linotype" w:hAnsi="Palatino Linotype"/>
                <w:sz w:val="19"/>
                <w:szCs w:val="19"/>
              </w:rPr>
              <w:t>Concern for stakeholders, society, and the environment</w:t>
            </w:r>
          </w:p>
        </w:tc>
        <w:tc>
          <w:tcPr>
            <w:tcW w:w="3100" w:type="dxa"/>
          </w:tcPr>
          <w:p w:rsidR="000C35B6" w:rsidRDefault="00E42C47">
            <w:pPr>
              <w:pStyle w:val="BodyText"/>
              <w:spacing w:before="20" w:after="20"/>
            </w:pPr>
            <w:r>
              <w:rPr>
                <w:rFonts w:ascii="Palatino Linotype" w:hAnsi="Palatino Linotype"/>
                <w:sz w:val="19"/>
                <w:szCs w:val="19"/>
              </w:rPr>
              <w:t>Anticipating societal impacts; sustainability across the life cycle</w:t>
            </w:r>
          </w:p>
        </w:tc>
        <w:tc>
          <w:tcPr>
            <w:tcW w:w="2460" w:type="dxa"/>
          </w:tcPr>
          <w:p w:rsidR="000C35B6" w:rsidRDefault="00E42C47">
            <w:pPr>
              <w:pStyle w:val="BodyText"/>
              <w:spacing w:before="20" w:after="20"/>
            </w:pPr>
            <w:r>
              <w:rPr>
                <w:rFonts w:ascii="Palatino Linotype" w:hAnsi="Palatino Linotype"/>
                <w:sz w:val="19"/>
                <w:szCs w:val="19"/>
              </w:rPr>
              <w:t>Maak &amp; Pless (2006); Stilgoe et al. (2013); United Nations (2015)</w:t>
            </w:r>
          </w:p>
        </w:tc>
      </w:tr>
    </w:tbl>
    <w:p w:rsidR="000C35B6" w:rsidRDefault="000C35B6">
      <w:pPr>
        <w:pStyle w:val="BodyText"/>
        <w:spacing w:before="0" w:after="0"/>
        <w:jc w:val="both"/>
      </w:pPr>
    </w:p>
    <w:p w:rsidR="000C35B6" w:rsidRDefault="00E42C47">
      <w:pPr>
        <w:pStyle w:val="BodyText"/>
        <w:keepNext/>
        <w:jc w:val="both"/>
      </w:pPr>
      <w:r>
        <w:rPr>
          <w:rFonts w:ascii="Palatino Linotype" w:hAnsi="Palatino Linotype"/>
          <w:i/>
        </w:rPr>
        <w:t>Trustworthiness</w:t>
      </w:r>
    </w:p>
    <w:p w:rsidR="000C35B6" w:rsidRDefault="00E42C47">
      <w:pPr>
        <w:pStyle w:val="BodyText"/>
        <w:jc w:val="both"/>
      </w:pPr>
      <w:r>
        <w:rPr>
          <w:rFonts w:ascii="Palatino Linotype" w:hAnsi="Palatino Linotype"/>
        </w:rPr>
        <w:t>Trustworthiness refers to a leader’s ability to f</w:t>
      </w:r>
      <w:r>
        <w:rPr>
          <w:rFonts w:ascii="Palatino Linotype" w:hAnsi="Palatino Linotype"/>
        </w:rPr>
        <w:t>ulfill responsibilities honestly and professionally. Mayer et al. (1995) conceptualize the trustworthiness of a trustee in terms of ability, benevolence, and integrity, which fits the dual demands on engineering leaders: demonstrable competence and sincere</w:t>
      </w:r>
      <w:r>
        <w:rPr>
          <w:rFonts w:ascii="Palatino Linotype" w:hAnsi="Palatino Linotype"/>
        </w:rPr>
        <w:t xml:space="preserve"> concern for the interests of those affected by their decisions. Meta-analytic evidence shows that trust in leadership is positively associated with outcomes such as job performance, organizational citizenship behavior, and commitment, and negatively assoc</w:t>
      </w:r>
      <w:r>
        <w:rPr>
          <w:rFonts w:ascii="Palatino Linotype" w:hAnsi="Palatino Linotype"/>
        </w:rPr>
        <w:t>iated with turnover intentions (Dirks &amp; Ferrin, 2002). In engineering, trustworthiness is essential to ensuring that the safety of products, systems, and users remains a top priority. In digital settings, it extends to the systems themselves: explicability</w:t>
      </w:r>
      <w:r>
        <w:rPr>
          <w:rFonts w:ascii="Palatino Linotype" w:hAnsi="Palatino Linotype"/>
        </w:rPr>
        <w:t>, understood as intelligibility and accountability, is among the principles proposed for a good AI society (Floridi et al., 2018), and transparency is the most frequently cited principle in AI ethics guidelines (Jobin et al., 2019). Leaders who create cond</w:t>
      </w:r>
      <w:r>
        <w:rPr>
          <w:rFonts w:ascii="Palatino Linotype" w:hAnsi="Palatino Linotype"/>
        </w:rPr>
        <w:t>itions in which team members feel safe to share concerns also strengthen trust (Edmondson, 1999; Sinek, 2014).</w:t>
      </w:r>
    </w:p>
    <w:p w:rsidR="000C35B6" w:rsidRDefault="00E42C47">
      <w:pPr>
        <w:pStyle w:val="BodyText"/>
        <w:keepNext/>
        <w:jc w:val="both"/>
      </w:pPr>
      <w:r>
        <w:rPr>
          <w:rFonts w:ascii="Palatino Linotype" w:hAnsi="Palatino Linotype"/>
          <w:i/>
        </w:rPr>
        <w:t>Integrity</w:t>
      </w:r>
    </w:p>
    <w:p w:rsidR="000C35B6" w:rsidRDefault="00E42C47">
      <w:pPr>
        <w:pStyle w:val="BodyText"/>
        <w:jc w:val="both"/>
      </w:pPr>
      <w:r>
        <w:rPr>
          <w:rFonts w:ascii="Palatino Linotype" w:hAnsi="Palatino Linotype"/>
        </w:rPr>
        <w:t>Integrity involves consistency between values, principles, and actions. Treviño et al. (2000) place integrity, honesty, and trustworthi</w:t>
      </w:r>
      <w:r>
        <w:rPr>
          <w:rFonts w:ascii="Palatino Linotype" w:hAnsi="Palatino Linotype"/>
        </w:rPr>
        <w:t>ness at the center of the moral person dimension of ethical leadership, and Avolio and Gardner (2005) similarly link authentic leadership to alignment between a leader’s internalized values and behavior. Leaders who demonstrate integrity tend to gain great</w:t>
      </w:r>
      <w:r>
        <w:rPr>
          <w:rFonts w:ascii="Palatino Linotype" w:hAnsi="Palatino Linotype"/>
        </w:rPr>
        <w:t xml:space="preserve">er trust from employees and stakeholders while reducing the risk of abuse of power and conflicts of interest, a concern that professional codes address explicitly (NSPE, 2019). Integrity is tested most when it conflicts with schedule, cost, or competitive </w:t>
      </w:r>
      <w:r>
        <w:rPr>
          <w:rFonts w:ascii="Palatino Linotype" w:hAnsi="Palatino Linotype"/>
        </w:rPr>
        <w:t>pressure. The Boeing 737 MAX case illustrates how organizational pressure and limited transparency can undermine engineering judgment when leaders do not protect space for technical dissent (Herkert et al., 2020).</w:t>
      </w:r>
    </w:p>
    <w:p w:rsidR="000C35B6" w:rsidRDefault="00E42C47">
      <w:pPr>
        <w:pStyle w:val="BodyText"/>
        <w:keepNext/>
        <w:jc w:val="both"/>
      </w:pPr>
      <w:r>
        <w:rPr>
          <w:rFonts w:ascii="Palatino Linotype" w:hAnsi="Palatino Linotype"/>
          <w:i/>
        </w:rPr>
        <w:t>Accountability</w:t>
      </w:r>
    </w:p>
    <w:p w:rsidR="000C35B6" w:rsidRDefault="00E42C47">
      <w:pPr>
        <w:pStyle w:val="BodyText"/>
        <w:jc w:val="both"/>
      </w:pPr>
      <w:r>
        <w:rPr>
          <w:rFonts w:ascii="Palatino Linotype" w:hAnsi="Palatino Linotype"/>
        </w:rPr>
        <w:t>Accountability requires lea</w:t>
      </w:r>
      <w:r>
        <w:rPr>
          <w:rFonts w:ascii="Palatino Linotype" w:hAnsi="Palatino Linotype"/>
        </w:rPr>
        <w:t>ders to take responsibility for their decisions and actions. In technological development, leadership decisions often carry significant implications for organizations and society. The distributed nature of modern engineering work complicates accountability</w:t>
      </w:r>
      <w:r>
        <w:rPr>
          <w:rFonts w:ascii="Palatino Linotype" w:hAnsi="Palatino Linotype"/>
        </w:rPr>
        <w:t>: Mittelstadt et al. (2016) point to the difficulty of tracing responsibility when outcomes emerge from complex, multi-actor algorithmic systems, and Raji et al. (2020) argue that an accountability gap persists unless organizations embed audit processes th</w:t>
      </w:r>
      <w:r>
        <w:rPr>
          <w:rFonts w:ascii="Palatino Linotype" w:hAnsi="Palatino Linotype"/>
        </w:rPr>
        <w:t xml:space="preserve">roughout the development lifecycle. Dignum (2019) treats </w:t>
      </w:r>
      <w:r>
        <w:rPr>
          <w:rFonts w:ascii="Palatino Linotype" w:hAnsi="Palatino Linotype"/>
        </w:rPr>
        <w:lastRenderedPageBreak/>
        <w:t xml:space="preserve">accountability as the ability to explain and justify decisions to relevant stakeholders. Accountable engineering leaders therefore establish clear ownership of risk decisions, maintain documentation </w:t>
      </w:r>
      <w:r>
        <w:rPr>
          <w:rFonts w:ascii="Palatino Linotype" w:hAnsi="Palatino Linotype"/>
        </w:rPr>
        <w:t>that allows decisions to be traced, and accept responsibility when systems fail, instead of attributing failures to individual operators or to the technology itself.</w:t>
      </w:r>
    </w:p>
    <w:p w:rsidR="000C35B6" w:rsidRDefault="00E42C47">
      <w:pPr>
        <w:pStyle w:val="BodyText"/>
        <w:keepNext/>
        <w:jc w:val="both"/>
      </w:pPr>
      <w:r>
        <w:rPr>
          <w:rFonts w:ascii="Palatino Linotype" w:hAnsi="Palatino Linotype"/>
          <w:i/>
        </w:rPr>
        <w:t>Fairness</w:t>
      </w:r>
    </w:p>
    <w:p w:rsidR="000C35B6" w:rsidRDefault="00E42C47">
      <w:pPr>
        <w:pStyle w:val="BodyText"/>
        <w:jc w:val="both"/>
      </w:pPr>
      <w:r>
        <w:rPr>
          <w:rFonts w:ascii="Palatino Linotype" w:hAnsi="Palatino Linotype"/>
        </w:rPr>
        <w:t>Leaders must ensure that decisions are made fairly and transparently. In the cont</w:t>
      </w:r>
      <w:r>
        <w:rPr>
          <w:rFonts w:ascii="Palatino Linotype" w:hAnsi="Palatino Linotype"/>
        </w:rPr>
        <w:t xml:space="preserve">ext of AI and automation, fairness is particularly important in preventing discrimination and algorithmic bias. The cases documented by Obermeyer et al. (2019) and Buolamwini and Gebru (2018) demonstrate that unfairness can be embedded in technical design </w:t>
      </w:r>
      <w:r>
        <w:rPr>
          <w:rFonts w:ascii="Palatino Linotype" w:hAnsi="Palatino Linotype"/>
        </w:rPr>
        <w:t>choices and remain invisible without deliberate testing across groups, and Mehrabi et al. (2021) show that multiple, sometimes competing, definitions of fairness exist, so that choosing among them is itself an ethical judgment. Fairness also has an organiz</w:t>
      </w:r>
      <w:r>
        <w:rPr>
          <w:rFonts w:ascii="Palatino Linotype" w:hAnsi="Palatino Linotype"/>
        </w:rPr>
        <w:t>ational face: justice is a core principle of ethical leadership (Northouse, 2021), and inclusive practices that give diverse team members a sense of belonging and the freedom to contribute distinctively (Shore et al., 2011) may increase the likelihood that</w:t>
      </w:r>
      <w:r>
        <w:rPr>
          <w:rFonts w:ascii="Palatino Linotype" w:hAnsi="Palatino Linotype"/>
        </w:rPr>
        <w:t xml:space="preserve"> biased assumptions are challenged before systems are deployed.</w:t>
      </w:r>
    </w:p>
    <w:p w:rsidR="000C35B6" w:rsidRDefault="00E42C47">
      <w:pPr>
        <w:pStyle w:val="BodyText"/>
        <w:keepNext/>
        <w:jc w:val="both"/>
      </w:pPr>
      <w:r>
        <w:rPr>
          <w:rFonts w:ascii="Palatino Linotype" w:hAnsi="Palatino Linotype"/>
          <w:i/>
        </w:rPr>
        <w:t>Social Responsibility</w:t>
      </w:r>
    </w:p>
    <w:p w:rsidR="000C35B6" w:rsidRDefault="00E42C47">
      <w:pPr>
        <w:pStyle w:val="BodyText"/>
        <w:jc w:val="both"/>
      </w:pPr>
      <w:r>
        <w:rPr>
          <w:rFonts w:ascii="Palatino Linotype" w:hAnsi="Palatino Linotype"/>
        </w:rPr>
        <w:t>Engineers must consider the social and environmental impacts of technological innovations. Successful technologies should not only generate economic value but also contribute to societal well-being and sustainable development. Responsible leadership extend</w:t>
      </w:r>
      <w:r>
        <w:rPr>
          <w:rFonts w:ascii="Palatino Linotype" w:hAnsi="Palatino Linotype"/>
        </w:rPr>
        <w:t>s leaders’ obligations to a broad set of stakeholders (Maak &amp; Pless, 2006), and the four dimensions of responsible innovation (anticipation, reflexivity, inclusion, and responsiveness) provide practical means of discharging that obligation (Stilgoe et al.,</w:t>
      </w:r>
      <w:r>
        <w:rPr>
          <w:rFonts w:ascii="Palatino Linotype" w:hAnsi="Palatino Linotype"/>
        </w:rPr>
        <w:t xml:space="preserve"> 2013). Professional codes reinforce this orientation by placing public welfare above other obligations (IEEE, 2020; NSPE, 2019), and the global sustainability agenda gives it a shared reference point (United Nations, 2015; World Commission on Environment </w:t>
      </w:r>
      <w:r>
        <w:rPr>
          <w:rFonts w:ascii="Palatino Linotype" w:hAnsi="Palatino Linotype"/>
        </w:rPr>
        <w:t>and Development, 1987).</w:t>
      </w:r>
    </w:p>
    <w:p w:rsidR="000C35B6" w:rsidRDefault="00E42C47">
      <w:pPr>
        <w:pStyle w:val="BodyText"/>
        <w:keepNext/>
        <w:jc w:val="both"/>
      </w:pPr>
      <w:r>
        <w:rPr>
          <w:rFonts w:ascii="Palatino Linotype" w:hAnsi="Palatino Linotype"/>
          <w:i/>
        </w:rPr>
        <w:t>Interdependence of the values and illustrative cases</w:t>
      </w:r>
    </w:p>
    <w:p w:rsidR="000C35B6" w:rsidRDefault="00E42C47">
      <w:pPr>
        <w:pStyle w:val="BodyText"/>
        <w:jc w:val="both"/>
      </w:pPr>
      <w:r>
        <w:rPr>
          <w:rFonts w:ascii="Palatino Linotype" w:hAnsi="Palatino Linotype"/>
        </w:rPr>
        <w:t>The five elements are interdependent rather than additive. Integrity is itself a component of trustworthiness (Mayer et al., 1995), accountability depends on the honesty with whic</w:t>
      </w:r>
      <w:r>
        <w:rPr>
          <w:rFonts w:ascii="Palatino Linotype" w:hAnsi="Palatino Linotype"/>
        </w:rPr>
        <w:t>h risks are reported, fairness requires the willingness to be answerable for outcomes affecting different groups, and social responsibility gives these values their ultimate purpose. Table 2 illustrates how failures in these values have appeared in documen</w:t>
      </w:r>
      <w:r>
        <w:rPr>
          <w:rFonts w:ascii="Palatino Linotype" w:hAnsi="Palatino Linotype"/>
        </w:rPr>
        <w:t>ted engineering cases.</w:t>
      </w:r>
    </w:p>
    <w:p w:rsidR="000C35B6" w:rsidRDefault="00E42C47">
      <w:pPr>
        <w:pStyle w:val="BodyText"/>
        <w:keepNext/>
        <w:spacing w:before="120" w:after="60"/>
      </w:pPr>
      <w:r>
        <w:rPr>
          <w:rFonts w:ascii="Palatino Linotype" w:hAnsi="Palatino Linotype"/>
          <w:b/>
        </w:rPr>
        <w:lastRenderedPageBreak/>
        <w:t>Table 2.</w:t>
      </w:r>
      <w:r>
        <w:rPr>
          <w:rFonts w:ascii="Palatino Linotype" w:hAnsi="Palatino Linotype"/>
          <w:i/>
        </w:rPr>
        <w:t xml:space="preserve"> Illustrative Cases of Value Failures in Engineering and Digital Technology</w:t>
      </w:r>
    </w:p>
    <w:tbl>
      <w:tblPr>
        <w:tblW w:w="9360" w:type="dxa"/>
        <w:tblBorders>
          <w:top w:val="single" w:sz="8" w:space="0" w:color="000000"/>
          <w:bottom w:val="single" w:sz="8" w:space="0" w:color="000000"/>
          <w:insideH w:val="single" w:sz="4" w:space="0" w:color="BFBFBF"/>
        </w:tblBorders>
        <w:tblLayout w:type="fixed"/>
        <w:tblCellMar>
          <w:top w:w="40" w:type="dxa"/>
          <w:left w:w="90" w:type="dxa"/>
          <w:bottom w:w="40" w:type="dxa"/>
          <w:right w:w="90" w:type="dxa"/>
        </w:tblCellMar>
        <w:tblLook w:val="04A0" w:firstRow="1" w:lastRow="0" w:firstColumn="1" w:lastColumn="0" w:noHBand="0" w:noVBand="1"/>
      </w:tblPr>
      <w:tblGrid>
        <w:gridCol w:w="1900"/>
        <w:gridCol w:w="3900"/>
        <w:gridCol w:w="1700"/>
        <w:gridCol w:w="1860"/>
      </w:tblGrid>
      <w:tr w:rsidR="000C35B6">
        <w:trPr>
          <w:cantSplit/>
          <w:tblHeader/>
        </w:trPr>
        <w:tc>
          <w:tcPr>
            <w:tcW w:w="1900" w:type="dxa"/>
            <w:shd w:val="clear" w:color="auto" w:fill="E8ECF3"/>
          </w:tcPr>
          <w:p w:rsidR="000C35B6" w:rsidRDefault="00E42C47">
            <w:pPr>
              <w:pStyle w:val="BodyText"/>
              <w:spacing w:before="20" w:after="20"/>
            </w:pPr>
            <w:r>
              <w:rPr>
                <w:rFonts w:ascii="Palatino Linotype" w:hAnsi="Palatino Linotype"/>
                <w:b/>
                <w:sz w:val="19"/>
                <w:szCs w:val="19"/>
              </w:rPr>
              <w:t>Case</w:t>
            </w:r>
          </w:p>
        </w:tc>
        <w:tc>
          <w:tcPr>
            <w:tcW w:w="3900" w:type="dxa"/>
            <w:shd w:val="clear" w:color="auto" w:fill="E8ECF3"/>
          </w:tcPr>
          <w:p w:rsidR="000C35B6" w:rsidRDefault="00E42C47">
            <w:pPr>
              <w:pStyle w:val="BodyText"/>
              <w:spacing w:before="20" w:after="20"/>
            </w:pPr>
            <w:r>
              <w:rPr>
                <w:rFonts w:ascii="Palatino Linotype" w:hAnsi="Palatino Linotype"/>
                <w:b/>
                <w:sz w:val="19"/>
                <w:szCs w:val="19"/>
              </w:rPr>
              <w:t>Documented issue</w:t>
            </w:r>
          </w:p>
        </w:tc>
        <w:tc>
          <w:tcPr>
            <w:tcW w:w="1700" w:type="dxa"/>
            <w:shd w:val="clear" w:color="auto" w:fill="E8ECF3"/>
          </w:tcPr>
          <w:p w:rsidR="000C35B6" w:rsidRDefault="00E42C47">
            <w:pPr>
              <w:pStyle w:val="BodyText"/>
              <w:spacing w:before="20" w:after="20"/>
            </w:pPr>
            <w:r>
              <w:rPr>
                <w:rFonts w:ascii="Palatino Linotype" w:hAnsi="Palatino Linotype"/>
                <w:b/>
                <w:sz w:val="19"/>
                <w:szCs w:val="19"/>
              </w:rPr>
              <w:t>Values at stake</w:t>
            </w:r>
          </w:p>
        </w:tc>
        <w:tc>
          <w:tcPr>
            <w:tcW w:w="1860" w:type="dxa"/>
            <w:shd w:val="clear" w:color="auto" w:fill="E8ECF3"/>
          </w:tcPr>
          <w:p w:rsidR="000C35B6" w:rsidRDefault="00E42C47">
            <w:pPr>
              <w:pStyle w:val="BodyText"/>
              <w:spacing w:before="20" w:after="20"/>
            </w:pPr>
            <w:r>
              <w:rPr>
                <w:rFonts w:ascii="Palatino Linotype" w:hAnsi="Palatino Linotype"/>
                <w:b/>
                <w:sz w:val="19"/>
                <w:szCs w:val="19"/>
              </w:rPr>
              <w:t>Source</w:t>
            </w:r>
          </w:p>
        </w:tc>
      </w:tr>
      <w:tr w:rsidR="000C35B6">
        <w:trPr>
          <w:cantSplit/>
        </w:trPr>
        <w:tc>
          <w:tcPr>
            <w:tcW w:w="1900" w:type="dxa"/>
          </w:tcPr>
          <w:p w:rsidR="000C35B6" w:rsidRDefault="00E42C47">
            <w:pPr>
              <w:pStyle w:val="BodyText"/>
              <w:spacing w:before="20" w:after="20"/>
            </w:pPr>
            <w:r>
              <w:rPr>
                <w:rFonts w:ascii="Palatino Linotype" w:hAnsi="Palatino Linotype"/>
                <w:sz w:val="19"/>
                <w:szCs w:val="19"/>
              </w:rPr>
              <w:t>Space Shuttle Challenger (1986)</w:t>
            </w:r>
          </w:p>
        </w:tc>
        <w:tc>
          <w:tcPr>
            <w:tcW w:w="3900" w:type="dxa"/>
          </w:tcPr>
          <w:p w:rsidR="000C35B6" w:rsidRDefault="00E42C47">
            <w:pPr>
              <w:pStyle w:val="BodyText"/>
              <w:spacing w:before="20" w:after="20"/>
            </w:pPr>
            <w:r>
              <w:rPr>
                <w:rFonts w:ascii="Palatino Linotype" w:hAnsi="Palatino Linotype"/>
                <w:sz w:val="19"/>
                <w:szCs w:val="19"/>
              </w:rPr>
              <w:t xml:space="preserve">Known technical anomalies came to be treated as acceptable risk within </w:t>
            </w:r>
            <w:r>
              <w:rPr>
                <w:rFonts w:ascii="Palatino Linotype" w:hAnsi="Palatino Linotype"/>
                <w:sz w:val="19"/>
                <w:szCs w:val="19"/>
              </w:rPr>
              <w:t>an organizational culture that normalized deviance</w:t>
            </w:r>
          </w:p>
        </w:tc>
        <w:tc>
          <w:tcPr>
            <w:tcW w:w="1700" w:type="dxa"/>
          </w:tcPr>
          <w:p w:rsidR="000C35B6" w:rsidRDefault="00E42C47">
            <w:pPr>
              <w:pStyle w:val="BodyText"/>
              <w:spacing w:before="20" w:after="20"/>
            </w:pPr>
            <w:r>
              <w:rPr>
                <w:rFonts w:ascii="Palatino Linotype" w:hAnsi="Palatino Linotype"/>
                <w:sz w:val="19"/>
                <w:szCs w:val="19"/>
              </w:rPr>
              <w:t>Integrity; accountability</w:t>
            </w:r>
          </w:p>
        </w:tc>
        <w:tc>
          <w:tcPr>
            <w:tcW w:w="1860" w:type="dxa"/>
          </w:tcPr>
          <w:p w:rsidR="000C35B6" w:rsidRDefault="00E42C47">
            <w:pPr>
              <w:pStyle w:val="BodyText"/>
              <w:spacing w:before="20" w:after="20"/>
            </w:pPr>
            <w:r>
              <w:rPr>
                <w:rFonts w:ascii="Palatino Linotype" w:hAnsi="Palatino Linotype"/>
                <w:sz w:val="19"/>
                <w:szCs w:val="19"/>
              </w:rPr>
              <w:t>Vaughan (1996)</w:t>
            </w:r>
          </w:p>
        </w:tc>
      </w:tr>
      <w:tr w:rsidR="000C35B6">
        <w:trPr>
          <w:cantSplit/>
        </w:trPr>
        <w:tc>
          <w:tcPr>
            <w:tcW w:w="1900" w:type="dxa"/>
          </w:tcPr>
          <w:p w:rsidR="000C35B6" w:rsidRDefault="00E42C47">
            <w:pPr>
              <w:pStyle w:val="BodyText"/>
              <w:spacing w:before="20" w:after="20"/>
            </w:pPr>
            <w:r>
              <w:rPr>
                <w:rFonts w:ascii="Palatino Linotype" w:hAnsi="Palatino Linotype"/>
                <w:sz w:val="19"/>
                <w:szCs w:val="19"/>
              </w:rPr>
              <w:t>Boeing 737 MAX (2018–2019)</w:t>
            </w:r>
          </w:p>
        </w:tc>
        <w:tc>
          <w:tcPr>
            <w:tcW w:w="3900" w:type="dxa"/>
          </w:tcPr>
          <w:p w:rsidR="000C35B6" w:rsidRDefault="00E42C47">
            <w:pPr>
              <w:pStyle w:val="BodyText"/>
              <w:spacing w:before="20" w:after="20"/>
            </w:pPr>
            <w:r>
              <w:rPr>
                <w:rFonts w:ascii="Palatino Linotype" w:hAnsi="Palatino Linotype"/>
                <w:sz w:val="19"/>
                <w:szCs w:val="19"/>
              </w:rPr>
              <w:t>Two fatal crashes; contributing factors included flight-control software design flaws, competitive pressure, limited transparency, and weak oversight</w:t>
            </w:r>
          </w:p>
        </w:tc>
        <w:tc>
          <w:tcPr>
            <w:tcW w:w="1700" w:type="dxa"/>
          </w:tcPr>
          <w:p w:rsidR="000C35B6" w:rsidRDefault="00E42C47">
            <w:pPr>
              <w:pStyle w:val="BodyText"/>
              <w:spacing w:before="20" w:after="20"/>
            </w:pPr>
            <w:r>
              <w:rPr>
                <w:rFonts w:ascii="Palatino Linotype" w:hAnsi="Palatino Linotype"/>
                <w:sz w:val="19"/>
                <w:szCs w:val="19"/>
              </w:rPr>
              <w:t>Trustworthiness; integrity; accountability</w:t>
            </w:r>
          </w:p>
        </w:tc>
        <w:tc>
          <w:tcPr>
            <w:tcW w:w="1860" w:type="dxa"/>
          </w:tcPr>
          <w:p w:rsidR="000C35B6" w:rsidRDefault="00E42C47">
            <w:pPr>
              <w:pStyle w:val="BodyText"/>
              <w:spacing w:before="20" w:after="20"/>
            </w:pPr>
            <w:r>
              <w:rPr>
                <w:rFonts w:ascii="Palatino Linotype" w:hAnsi="Palatino Linotype"/>
                <w:sz w:val="19"/>
                <w:szCs w:val="19"/>
              </w:rPr>
              <w:t>Herkert et al. (2020)</w:t>
            </w:r>
          </w:p>
        </w:tc>
      </w:tr>
      <w:tr w:rsidR="000C35B6">
        <w:trPr>
          <w:cantSplit/>
        </w:trPr>
        <w:tc>
          <w:tcPr>
            <w:tcW w:w="1900" w:type="dxa"/>
          </w:tcPr>
          <w:p w:rsidR="000C35B6" w:rsidRDefault="00E42C47">
            <w:pPr>
              <w:pStyle w:val="BodyText"/>
              <w:spacing w:before="20" w:after="20"/>
            </w:pPr>
            <w:r>
              <w:rPr>
                <w:rFonts w:ascii="Palatino Linotype" w:hAnsi="Palatino Linotype"/>
                <w:sz w:val="19"/>
                <w:szCs w:val="19"/>
              </w:rPr>
              <w:t>Health-risk prediction algorithm</w:t>
            </w:r>
          </w:p>
        </w:tc>
        <w:tc>
          <w:tcPr>
            <w:tcW w:w="3900" w:type="dxa"/>
          </w:tcPr>
          <w:p w:rsidR="000C35B6" w:rsidRDefault="00E42C47">
            <w:pPr>
              <w:pStyle w:val="BodyText"/>
              <w:spacing w:before="20" w:after="20"/>
            </w:pPr>
            <w:r>
              <w:rPr>
                <w:rFonts w:ascii="Palatino Linotype" w:hAnsi="Palatino Linotype"/>
                <w:sz w:val="19"/>
                <w:szCs w:val="19"/>
              </w:rPr>
              <w:t>Health care costs used as a proxy for health needs; equally sick Black patients received lower priority than White patients</w:t>
            </w:r>
          </w:p>
        </w:tc>
        <w:tc>
          <w:tcPr>
            <w:tcW w:w="1700" w:type="dxa"/>
          </w:tcPr>
          <w:p w:rsidR="000C35B6" w:rsidRDefault="00E42C47">
            <w:pPr>
              <w:pStyle w:val="BodyText"/>
              <w:spacing w:before="20" w:after="20"/>
            </w:pPr>
            <w:r>
              <w:rPr>
                <w:rFonts w:ascii="Palatino Linotype" w:hAnsi="Palatino Linotype"/>
                <w:sz w:val="19"/>
                <w:szCs w:val="19"/>
              </w:rPr>
              <w:t>Fairness; social responsibility</w:t>
            </w:r>
          </w:p>
        </w:tc>
        <w:tc>
          <w:tcPr>
            <w:tcW w:w="1860" w:type="dxa"/>
          </w:tcPr>
          <w:p w:rsidR="000C35B6" w:rsidRDefault="00E42C47">
            <w:pPr>
              <w:pStyle w:val="BodyText"/>
              <w:spacing w:before="20" w:after="20"/>
            </w:pPr>
            <w:r>
              <w:rPr>
                <w:rFonts w:ascii="Palatino Linotype" w:hAnsi="Palatino Linotype"/>
                <w:sz w:val="19"/>
                <w:szCs w:val="19"/>
              </w:rPr>
              <w:t>Obermeyer et al. (2019)</w:t>
            </w:r>
          </w:p>
        </w:tc>
      </w:tr>
      <w:tr w:rsidR="000C35B6">
        <w:trPr>
          <w:cantSplit/>
        </w:trPr>
        <w:tc>
          <w:tcPr>
            <w:tcW w:w="1900" w:type="dxa"/>
          </w:tcPr>
          <w:p w:rsidR="000C35B6" w:rsidRDefault="00E42C47">
            <w:pPr>
              <w:pStyle w:val="BodyText"/>
              <w:spacing w:before="20" w:after="20"/>
            </w:pPr>
            <w:r>
              <w:rPr>
                <w:rFonts w:ascii="Palatino Linotype" w:hAnsi="Palatino Linotype"/>
                <w:sz w:val="19"/>
                <w:szCs w:val="19"/>
              </w:rPr>
              <w:t>Commercial gender classification</w:t>
            </w:r>
          </w:p>
        </w:tc>
        <w:tc>
          <w:tcPr>
            <w:tcW w:w="3900" w:type="dxa"/>
          </w:tcPr>
          <w:p w:rsidR="000C35B6" w:rsidRDefault="00E42C47">
            <w:pPr>
              <w:pStyle w:val="BodyText"/>
              <w:spacing w:before="20" w:after="20"/>
            </w:pPr>
            <w:r>
              <w:rPr>
                <w:rFonts w:ascii="Palatino Linotype" w:hAnsi="Palatino Linotype"/>
                <w:sz w:val="19"/>
                <w:szCs w:val="19"/>
              </w:rPr>
              <w:t>Markedly higher error rates for darker-ski</w:t>
            </w:r>
            <w:r>
              <w:rPr>
                <w:rFonts w:ascii="Palatino Linotype" w:hAnsi="Palatino Linotype"/>
                <w:sz w:val="19"/>
                <w:szCs w:val="19"/>
              </w:rPr>
              <w:t>nned women than for lighter-skinned men</w:t>
            </w:r>
          </w:p>
        </w:tc>
        <w:tc>
          <w:tcPr>
            <w:tcW w:w="1700" w:type="dxa"/>
          </w:tcPr>
          <w:p w:rsidR="000C35B6" w:rsidRDefault="00E42C47">
            <w:pPr>
              <w:pStyle w:val="BodyText"/>
              <w:spacing w:before="20" w:after="20"/>
            </w:pPr>
            <w:r>
              <w:rPr>
                <w:rFonts w:ascii="Palatino Linotype" w:hAnsi="Palatino Linotype"/>
                <w:sz w:val="19"/>
                <w:szCs w:val="19"/>
              </w:rPr>
              <w:t>Fairness; accountability</w:t>
            </w:r>
          </w:p>
        </w:tc>
        <w:tc>
          <w:tcPr>
            <w:tcW w:w="1860" w:type="dxa"/>
          </w:tcPr>
          <w:p w:rsidR="000C35B6" w:rsidRDefault="00E42C47">
            <w:pPr>
              <w:pStyle w:val="BodyText"/>
              <w:spacing w:before="20" w:after="20"/>
            </w:pPr>
            <w:r>
              <w:rPr>
                <w:rFonts w:ascii="Palatino Linotype" w:hAnsi="Palatino Linotype"/>
                <w:sz w:val="19"/>
                <w:szCs w:val="19"/>
              </w:rPr>
              <w:t>Buolamwini &amp; Gebru (2018)</w:t>
            </w:r>
          </w:p>
        </w:tc>
      </w:tr>
    </w:tbl>
    <w:p w:rsidR="000C35B6" w:rsidRDefault="000C35B6">
      <w:pPr>
        <w:pStyle w:val="BodyText"/>
        <w:spacing w:before="0" w:after="0"/>
        <w:jc w:val="both"/>
      </w:pPr>
    </w:p>
    <w:p w:rsidR="000C35B6" w:rsidRDefault="00E42C47">
      <w:pPr>
        <w:pStyle w:val="BodyText"/>
        <w:jc w:val="both"/>
      </w:pPr>
      <w:r>
        <w:rPr>
          <w:rFonts w:ascii="Palatino Linotype" w:hAnsi="Palatino Linotype"/>
        </w:rPr>
        <w:t>Values become effective only when translated into leadership practice. The reviewed literature suggests at least five such practices: (a) role-modelling and reinforcing ethical conduct through rewards and discipline (Brown et al., 2005; Treviño et al., 200</w:t>
      </w:r>
      <w:r>
        <w:rPr>
          <w:rFonts w:ascii="Palatino Linotype" w:hAnsi="Palatino Linotype"/>
        </w:rPr>
        <w:t>0); (b) building ethical climates and safe channels for dissent (Detert &amp; Burris, 2007; Edmondson, 1999; Victor &amp; Cullen, 1988); (c) institutionalizing audit and documentation processes for algorithmic and safety-critical systems (Raji et al., 2020); (d) e</w:t>
      </w:r>
      <w:r>
        <w:rPr>
          <w:rFonts w:ascii="Palatino Linotype" w:hAnsi="Palatino Linotype"/>
        </w:rPr>
        <w:t>ngaging diverse stakeholders and anticipating societal impacts early in design (Maak &amp; Pless, 2006; Stilgoe et al., 2013); and (e) aligning projects with legal and professional standards while recognizing that these represent a minimum (IET, 2024; NSPE, 20</w:t>
      </w:r>
      <w:r>
        <w:rPr>
          <w:rFonts w:ascii="Palatino Linotype" w:hAnsi="Palatino Linotype"/>
        </w:rPr>
        <w:t>19).</w:t>
      </w:r>
    </w:p>
    <w:p w:rsidR="000C35B6" w:rsidRDefault="00E42C47">
      <w:pPr>
        <w:pStyle w:val="BodyText"/>
        <w:keepNext/>
        <w:jc w:val="both"/>
      </w:pPr>
      <w:r>
        <w:rPr>
          <w:rFonts w:ascii="Palatino Linotype" w:hAnsi="Palatino Linotype"/>
          <w:b/>
          <w:i/>
        </w:rPr>
        <w:t>The Proposed Values-Based Engineering Leadership Model</w:t>
      </w:r>
    </w:p>
    <w:p w:rsidR="000C35B6" w:rsidRDefault="00E42C47">
      <w:pPr>
        <w:pStyle w:val="BodyText"/>
        <w:jc w:val="both"/>
      </w:pPr>
      <w:r>
        <w:rPr>
          <w:rFonts w:ascii="Palatino Linotype" w:hAnsi="Palatino Linotype"/>
        </w:rPr>
        <w:t>Based on these findings, this study proposes a Values-Based Engineering Leadership Model that integrates trustworthiness, integrity, accountability, fairness, and social responsibility as core dim</w:t>
      </w:r>
      <w:r>
        <w:rPr>
          <w:rFonts w:ascii="Palatino Linotype" w:hAnsi="Palatino Linotype"/>
        </w:rPr>
        <w:t>ensions for sustainable technical leadership development. As Figure 1 shows, the model has three layers. At its center, the five core values guide the decisions of engineering leaders. Surrounding them are enabling conditions that determine whether individ</w:t>
      </w:r>
      <w:r>
        <w:rPr>
          <w:rFonts w:ascii="Palatino Linotype" w:hAnsi="Palatino Linotype"/>
        </w:rPr>
        <w:t>ual values can be translated into action: an ethical organizational climate (Victor &amp; Cullen, 1988), psychological safety and employee voice (Detert &amp; Burris, 2007; Edmondson, 1999), professional codes and regulatory governance (IET, 2024; NSPE, 2019), and</w:t>
      </w:r>
      <w:r>
        <w:rPr>
          <w:rFonts w:ascii="Palatino Linotype" w:hAnsi="Palatino Linotype"/>
        </w:rPr>
        <w:t xml:space="preserve"> values-oriented engineering education (Harris et al., 2019; Shuman et al., 2005). The anticipated outcomes are trust and legitimacy among stakeholders, safe, fair, and transparent technologies, and sustainable innovation that contributes to societal well-</w:t>
      </w:r>
      <w:r>
        <w:rPr>
          <w:rFonts w:ascii="Palatino Linotype" w:hAnsi="Palatino Linotype"/>
        </w:rPr>
        <w:t>being.</w:t>
      </w:r>
    </w:p>
    <w:p w:rsidR="000C35B6" w:rsidRDefault="00E42C47">
      <w:pPr>
        <w:pStyle w:val="BodyText"/>
        <w:keepNext/>
        <w:spacing w:before="120" w:after="60"/>
      </w:pPr>
      <w:r>
        <w:rPr>
          <w:rFonts w:ascii="Palatino Linotype" w:hAnsi="Palatino Linotype"/>
          <w:b/>
        </w:rPr>
        <w:lastRenderedPageBreak/>
        <w:t>Figure 1.</w:t>
      </w:r>
      <w:r>
        <w:rPr>
          <w:rFonts w:ascii="Palatino Linotype" w:hAnsi="Palatino Linotype"/>
          <w:i/>
        </w:rPr>
        <w:t xml:space="preserve"> Proposed Values-Based Engineering Leadership Model</w:t>
      </w:r>
    </w:p>
    <w:p w:rsidR="000C35B6" w:rsidRDefault="00E42C47">
      <w:pPr>
        <w:pStyle w:val="BodyText"/>
        <w:spacing w:before="60" w:after="60"/>
        <w:jc w:val="center"/>
      </w:pPr>
      <w:r>
        <w:rPr>
          <w:noProof/>
        </w:rPr>
        <w:drawing>
          <wp:inline distT="0" distB="0" distL="0" distR="0">
            <wp:extent cx="5394960" cy="3337236"/>
            <wp:effectExtent l="0" t="0" r="0" b="0"/>
            <wp:docPr id="101" name="Figure 1" descr="Conceptual model: enabling conditions (ethical climate, psychological safety and voice, professional codes and regulatory governance, values-oriented education) lead to five core values (trustworthiness, integrity, accountability, fairness, social responsibility), which lead to outcomes (stakeholder trust, safe fair transparent technologies, sustainable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odel.png"/>
                    <pic:cNvPicPr/>
                  </pic:nvPicPr>
                  <pic:blipFill>
                    <a:blip r:embed="rId7"/>
                    <a:stretch>
                      <a:fillRect/>
                    </a:stretch>
                  </pic:blipFill>
                  <pic:spPr>
                    <a:xfrm>
                      <a:off x="0" y="0"/>
                      <a:ext cx="5394960" cy="3337236"/>
                    </a:xfrm>
                    <a:prstGeom prst="rect">
                      <a:avLst/>
                    </a:prstGeom>
                  </pic:spPr>
                </pic:pic>
              </a:graphicData>
            </a:graphic>
          </wp:inline>
        </w:drawing>
      </w:r>
    </w:p>
    <w:p w:rsidR="000C35B6" w:rsidRDefault="00E42C47">
      <w:pPr>
        <w:pStyle w:val="BodyText"/>
        <w:spacing w:before="0" w:after="120"/>
      </w:pPr>
      <w:r>
        <w:rPr>
          <w:rFonts w:ascii="Palatino Linotype" w:hAnsi="Palatino Linotype"/>
          <w:i/>
          <w:sz w:val="20"/>
          <w:szCs w:val="20"/>
        </w:rPr>
        <w:t>Note.</w:t>
      </w:r>
      <w:r>
        <w:rPr>
          <w:rFonts w:ascii="Palatino Linotype" w:hAnsi="Palatino Linotype"/>
          <w:sz w:val="20"/>
          <w:szCs w:val="20"/>
        </w:rPr>
        <w:t xml:space="preserve"> Conceptual synthesis based on the reviewed literature.</w:t>
      </w:r>
    </w:p>
    <w:p w:rsidR="000C35B6" w:rsidRDefault="00E42C47">
      <w:pPr>
        <w:pStyle w:val="BodyText"/>
        <w:jc w:val="both"/>
      </w:pPr>
      <w:r>
        <w:rPr>
          <w:rFonts w:ascii="Palatino Linotype" w:hAnsi="Palatino Linotype"/>
        </w:rPr>
        <w:t>The relationships in the model are reciprocal: positive outcomes reinforce the climates and norms in which ethical leadership</w:t>
      </w:r>
      <w:r>
        <w:rPr>
          <w:rFonts w:ascii="Palatino Linotype" w:hAnsi="Palatino Linotype"/>
        </w:rPr>
        <w:t xml:space="preserve"> is recognized and rewarded. Because the model is derived from a conceptual synthesis, the relationships it depicts are propositions to be tested rather than established effects.</w:t>
      </w:r>
    </w:p>
    <w:p w:rsidR="000C35B6" w:rsidRDefault="00E42C47">
      <w:pPr>
        <w:pStyle w:val="BodyText"/>
        <w:keepNext/>
        <w:jc w:val="both"/>
      </w:pPr>
      <w:r>
        <w:rPr>
          <w:rFonts w:ascii="Palatino Linotype" w:hAnsi="Palatino Linotype"/>
          <w:b/>
          <w:i/>
        </w:rPr>
        <w:t>Theoretical and Practical Contributions</w:t>
      </w:r>
    </w:p>
    <w:p w:rsidR="000C35B6" w:rsidRDefault="00E42C47">
      <w:pPr>
        <w:pStyle w:val="BodyText"/>
        <w:jc w:val="both"/>
      </w:pPr>
      <w:r>
        <w:rPr>
          <w:rFonts w:ascii="Palatino Linotype" w:hAnsi="Palatino Linotype"/>
        </w:rPr>
        <w:t>The model contributes to the literatu</w:t>
      </w:r>
      <w:r>
        <w:rPr>
          <w:rFonts w:ascii="Palatino Linotype" w:hAnsi="Palatino Linotype"/>
        </w:rPr>
        <w:t>re in three ways. First, it connects bodies of work that are usually developed separately. Ethical leadership research (Brown &amp; Treviño, 2006; Treviño et al., 2000) explains how leaders influence conduct in general, and responsible leadership (Maak &amp; Pless</w:t>
      </w:r>
      <w:r>
        <w:rPr>
          <w:rFonts w:ascii="Palatino Linotype" w:hAnsi="Palatino Linotype"/>
        </w:rPr>
        <w:t>, 2006) extends that influence to stakeholders, whereas AI ethics (Floridi et al., 2018; Jobin et al., 2019) and responsible innovation (Stilgoe et al., 2013) specify what ethical technology should look like. The model places engineering leaders at the int</w:t>
      </w:r>
      <w:r>
        <w:rPr>
          <w:rFonts w:ascii="Palatino Linotype" w:hAnsi="Palatino Linotype"/>
        </w:rPr>
        <w:t xml:space="preserve">ersection, as the actors who convert such principles into organizational practice. Second, it respects the professional identity of engineers documented by Rottmann et al. (2015): because engineers tend to identify with technical mastery and collaborative </w:t>
      </w:r>
      <w:r>
        <w:rPr>
          <w:rFonts w:ascii="Palatino Linotype" w:hAnsi="Palatino Linotype"/>
        </w:rPr>
        <w:t xml:space="preserve">problem solving, leadership values are framed as part of professional competence and not as an external managerial add-on. Third, it adds an explicit layer of enabling conditions, reflecting evidence that ethical outcomes depend on organizational climates </w:t>
      </w:r>
      <w:r>
        <w:rPr>
          <w:rFonts w:ascii="Palatino Linotype" w:hAnsi="Palatino Linotype"/>
        </w:rPr>
        <w:t>and voice mechanisms as well as on individual character (Kish-Gephart et al., 2010).</w:t>
      </w:r>
    </w:p>
    <w:p w:rsidR="000C35B6" w:rsidRDefault="00E42C47">
      <w:pPr>
        <w:pStyle w:val="BodyText"/>
        <w:jc w:val="both"/>
      </w:pPr>
      <w:r>
        <w:rPr>
          <w:rFonts w:ascii="Palatino Linotype" w:hAnsi="Palatino Linotype"/>
        </w:rPr>
        <w:lastRenderedPageBreak/>
        <w:t>For practice, the model can be used as a diagnostic and development tool. Educators can map curriculum outcomes against the five values, organizations can review whether t</w:t>
      </w:r>
      <w:r>
        <w:rPr>
          <w:rFonts w:ascii="Palatino Linotype" w:hAnsi="Palatino Linotype"/>
        </w:rPr>
        <w:t>heir climates, reporting channels, and audit routines support them, and professional bodies can align competency frameworks and continuing professional development with them. To support empirical testing, Table 3 suggests illustrative indicators that futur</w:t>
      </w:r>
      <w:r>
        <w:rPr>
          <w:rFonts w:ascii="Palatino Linotype" w:hAnsi="Palatino Linotype"/>
        </w:rPr>
        <w:t>e studies could use to operationalize each value, drawing on existing frameworks where available.</w:t>
      </w:r>
    </w:p>
    <w:p w:rsidR="000C35B6" w:rsidRDefault="00E42C47">
      <w:pPr>
        <w:pStyle w:val="BodyText"/>
        <w:keepNext/>
        <w:spacing w:before="120" w:after="60"/>
      </w:pPr>
      <w:r>
        <w:rPr>
          <w:rFonts w:ascii="Palatino Linotype" w:hAnsi="Palatino Linotype"/>
          <w:b/>
        </w:rPr>
        <w:t>Table 3.</w:t>
      </w:r>
      <w:r>
        <w:rPr>
          <w:rFonts w:ascii="Palatino Linotype" w:hAnsi="Palatino Linotype"/>
          <w:i/>
        </w:rPr>
        <w:t xml:space="preserve"> Illustrative Indicators for Operationalizing the Five Values</w:t>
      </w:r>
    </w:p>
    <w:tbl>
      <w:tblPr>
        <w:tblW w:w="9360" w:type="dxa"/>
        <w:tblBorders>
          <w:top w:val="single" w:sz="8" w:space="0" w:color="000000"/>
          <w:bottom w:val="single" w:sz="8" w:space="0" w:color="000000"/>
          <w:insideH w:val="single" w:sz="4" w:space="0" w:color="BFBFBF"/>
        </w:tblBorders>
        <w:tblLayout w:type="fixed"/>
        <w:tblCellMar>
          <w:top w:w="40" w:type="dxa"/>
          <w:left w:w="90" w:type="dxa"/>
          <w:bottom w:w="40" w:type="dxa"/>
          <w:right w:w="90" w:type="dxa"/>
        </w:tblCellMar>
        <w:tblLook w:val="04A0" w:firstRow="1" w:lastRow="0" w:firstColumn="1" w:lastColumn="0" w:noHBand="0" w:noVBand="1"/>
      </w:tblPr>
      <w:tblGrid>
        <w:gridCol w:w="1650"/>
        <w:gridCol w:w="4900"/>
        <w:gridCol w:w="2810"/>
      </w:tblGrid>
      <w:tr w:rsidR="000C35B6">
        <w:trPr>
          <w:cantSplit/>
          <w:tblHeader/>
        </w:trPr>
        <w:tc>
          <w:tcPr>
            <w:tcW w:w="1650" w:type="dxa"/>
            <w:shd w:val="clear" w:color="auto" w:fill="E8ECF3"/>
          </w:tcPr>
          <w:p w:rsidR="000C35B6" w:rsidRDefault="00E42C47">
            <w:pPr>
              <w:pStyle w:val="BodyText"/>
              <w:spacing w:before="20" w:after="20"/>
            </w:pPr>
            <w:r>
              <w:rPr>
                <w:rFonts w:ascii="Palatino Linotype" w:hAnsi="Palatino Linotype"/>
                <w:b/>
                <w:sz w:val="19"/>
                <w:szCs w:val="19"/>
              </w:rPr>
              <w:t>Core value</w:t>
            </w:r>
          </w:p>
        </w:tc>
        <w:tc>
          <w:tcPr>
            <w:tcW w:w="4900" w:type="dxa"/>
            <w:shd w:val="clear" w:color="auto" w:fill="E8ECF3"/>
          </w:tcPr>
          <w:p w:rsidR="000C35B6" w:rsidRDefault="00E42C47">
            <w:pPr>
              <w:pStyle w:val="BodyText"/>
              <w:spacing w:before="20" w:after="20"/>
            </w:pPr>
            <w:r>
              <w:rPr>
                <w:rFonts w:ascii="Palatino Linotype" w:hAnsi="Palatino Linotype"/>
                <w:b/>
                <w:sz w:val="19"/>
                <w:szCs w:val="19"/>
              </w:rPr>
              <w:t>Illustrative indicators</w:t>
            </w:r>
          </w:p>
        </w:tc>
        <w:tc>
          <w:tcPr>
            <w:tcW w:w="2810" w:type="dxa"/>
            <w:shd w:val="clear" w:color="auto" w:fill="E8ECF3"/>
          </w:tcPr>
          <w:p w:rsidR="000C35B6" w:rsidRDefault="00E42C47">
            <w:pPr>
              <w:pStyle w:val="BodyText"/>
              <w:spacing w:before="20" w:after="20"/>
            </w:pPr>
            <w:r>
              <w:rPr>
                <w:rFonts w:ascii="Palatino Linotype" w:hAnsi="Palatino Linotype"/>
                <w:b/>
                <w:sz w:val="19"/>
                <w:szCs w:val="19"/>
              </w:rPr>
              <w:t>Possible grounding</w:t>
            </w:r>
          </w:p>
        </w:tc>
      </w:tr>
      <w:tr w:rsidR="000C35B6">
        <w:trPr>
          <w:cantSplit/>
        </w:trPr>
        <w:tc>
          <w:tcPr>
            <w:tcW w:w="1650" w:type="dxa"/>
          </w:tcPr>
          <w:p w:rsidR="000C35B6" w:rsidRDefault="00E42C47">
            <w:pPr>
              <w:pStyle w:val="BodyText"/>
              <w:spacing w:before="20" w:after="20"/>
            </w:pPr>
            <w:r>
              <w:rPr>
                <w:rFonts w:ascii="Palatino Linotype" w:hAnsi="Palatino Linotype"/>
                <w:sz w:val="19"/>
                <w:szCs w:val="19"/>
              </w:rPr>
              <w:t>Trustworthiness</w:t>
            </w:r>
          </w:p>
        </w:tc>
        <w:tc>
          <w:tcPr>
            <w:tcW w:w="4900" w:type="dxa"/>
          </w:tcPr>
          <w:p w:rsidR="000C35B6" w:rsidRDefault="00E42C47">
            <w:pPr>
              <w:pStyle w:val="BodyText"/>
              <w:spacing w:before="20" w:after="20"/>
            </w:pPr>
            <w:r>
              <w:rPr>
                <w:rFonts w:ascii="Palatino Linotype" w:hAnsi="Palatino Linotype"/>
                <w:sz w:val="19"/>
                <w:szCs w:val="19"/>
              </w:rPr>
              <w:t>Stakeholders’ perceptions of the leader’s ability, benevolence, and integrity; clarity of communication about system limits and risks</w:t>
            </w:r>
          </w:p>
        </w:tc>
        <w:tc>
          <w:tcPr>
            <w:tcW w:w="2810" w:type="dxa"/>
          </w:tcPr>
          <w:p w:rsidR="000C35B6" w:rsidRDefault="00E42C47">
            <w:pPr>
              <w:pStyle w:val="BodyText"/>
              <w:spacing w:before="20" w:after="20"/>
            </w:pPr>
            <w:r>
              <w:rPr>
                <w:rFonts w:ascii="Palatino Linotype" w:hAnsi="Palatino Linotype"/>
                <w:sz w:val="19"/>
                <w:szCs w:val="19"/>
              </w:rPr>
              <w:t>Mayer et al. (1995); Floridi et al. (2018)</w:t>
            </w:r>
          </w:p>
        </w:tc>
      </w:tr>
      <w:tr w:rsidR="000C35B6">
        <w:trPr>
          <w:cantSplit/>
        </w:trPr>
        <w:tc>
          <w:tcPr>
            <w:tcW w:w="1650" w:type="dxa"/>
          </w:tcPr>
          <w:p w:rsidR="000C35B6" w:rsidRDefault="00E42C47">
            <w:pPr>
              <w:pStyle w:val="BodyText"/>
              <w:spacing w:before="20" w:after="20"/>
            </w:pPr>
            <w:r>
              <w:rPr>
                <w:rFonts w:ascii="Palatino Linotype" w:hAnsi="Palatino Linotype"/>
                <w:sz w:val="19"/>
                <w:szCs w:val="19"/>
              </w:rPr>
              <w:t>Integrity</w:t>
            </w:r>
          </w:p>
        </w:tc>
        <w:tc>
          <w:tcPr>
            <w:tcW w:w="4900" w:type="dxa"/>
          </w:tcPr>
          <w:p w:rsidR="000C35B6" w:rsidRDefault="00E42C47">
            <w:pPr>
              <w:pStyle w:val="BodyText"/>
              <w:spacing w:before="20" w:after="20"/>
            </w:pPr>
            <w:r>
              <w:rPr>
                <w:rFonts w:ascii="Palatino Linotype" w:hAnsi="Palatino Linotype"/>
                <w:sz w:val="19"/>
                <w:szCs w:val="19"/>
              </w:rPr>
              <w:t>Follower-rated ethical leadership behaviors; consistency between stated values and decisions made under schedule or cost pressure</w:t>
            </w:r>
          </w:p>
        </w:tc>
        <w:tc>
          <w:tcPr>
            <w:tcW w:w="2810" w:type="dxa"/>
          </w:tcPr>
          <w:p w:rsidR="000C35B6" w:rsidRDefault="00E42C47">
            <w:pPr>
              <w:pStyle w:val="BodyText"/>
              <w:spacing w:before="20" w:after="20"/>
            </w:pPr>
            <w:r>
              <w:rPr>
                <w:rFonts w:ascii="Palatino Linotype" w:hAnsi="Palatino Linotype"/>
                <w:sz w:val="19"/>
                <w:szCs w:val="19"/>
              </w:rPr>
              <w:t>Brown et al. (2005); Treviño et al. (2000)</w:t>
            </w:r>
          </w:p>
        </w:tc>
      </w:tr>
      <w:tr w:rsidR="000C35B6">
        <w:trPr>
          <w:cantSplit/>
        </w:trPr>
        <w:tc>
          <w:tcPr>
            <w:tcW w:w="1650" w:type="dxa"/>
          </w:tcPr>
          <w:p w:rsidR="000C35B6" w:rsidRDefault="00E42C47">
            <w:pPr>
              <w:pStyle w:val="BodyText"/>
              <w:spacing w:before="20" w:after="20"/>
            </w:pPr>
            <w:r>
              <w:rPr>
                <w:rFonts w:ascii="Palatino Linotype" w:hAnsi="Palatino Linotype"/>
                <w:sz w:val="19"/>
                <w:szCs w:val="19"/>
              </w:rPr>
              <w:t>Accountability</w:t>
            </w:r>
          </w:p>
        </w:tc>
        <w:tc>
          <w:tcPr>
            <w:tcW w:w="4900" w:type="dxa"/>
          </w:tcPr>
          <w:p w:rsidR="000C35B6" w:rsidRDefault="00E42C47">
            <w:pPr>
              <w:pStyle w:val="BodyText"/>
              <w:spacing w:before="20" w:after="20"/>
            </w:pPr>
            <w:r>
              <w:rPr>
                <w:rFonts w:ascii="Palatino Linotype" w:hAnsi="Palatino Linotype"/>
                <w:sz w:val="19"/>
                <w:szCs w:val="19"/>
              </w:rPr>
              <w:t>Documented ownership of risk decisions; audit trails and independen</w:t>
            </w:r>
            <w:r>
              <w:rPr>
                <w:rFonts w:ascii="Palatino Linotype" w:hAnsi="Palatino Linotype"/>
                <w:sz w:val="19"/>
                <w:szCs w:val="19"/>
              </w:rPr>
              <w:t>t reviews across the development lifecycle</w:t>
            </w:r>
          </w:p>
        </w:tc>
        <w:tc>
          <w:tcPr>
            <w:tcW w:w="2810" w:type="dxa"/>
          </w:tcPr>
          <w:p w:rsidR="000C35B6" w:rsidRDefault="00E42C47">
            <w:pPr>
              <w:pStyle w:val="BodyText"/>
              <w:spacing w:before="20" w:after="20"/>
            </w:pPr>
            <w:r>
              <w:rPr>
                <w:rFonts w:ascii="Palatino Linotype" w:hAnsi="Palatino Linotype"/>
                <w:sz w:val="19"/>
                <w:szCs w:val="19"/>
              </w:rPr>
              <w:t>Raji et al. (2020); Dignum (2019)</w:t>
            </w:r>
          </w:p>
        </w:tc>
      </w:tr>
      <w:tr w:rsidR="000C35B6">
        <w:trPr>
          <w:cantSplit/>
        </w:trPr>
        <w:tc>
          <w:tcPr>
            <w:tcW w:w="1650" w:type="dxa"/>
          </w:tcPr>
          <w:p w:rsidR="000C35B6" w:rsidRDefault="00E42C47">
            <w:pPr>
              <w:pStyle w:val="BodyText"/>
              <w:spacing w:before="20" w:after="20"/>
            </w:pPr>
            <w:r>
              <w:rPr>
                <w:rFonts w:ascii="Palatino Linotype" w:hAnsi="Palatino Linotype"/>
                <w:sz w:val="19"/>
                <w:szCs w:val="19"/>
              </w:rPr>
              <w:t>Fairness</w:t>
            </w:r>
          </w:p>
        </w:tc>
        <w:tc>
          <w:tcPr>
            <w:tcW w:w="4900" w:type="dxa"/>
          </w:tcPr>
          <w:p w:rsidR="000C35B6" w:rsidRDefault="00E42C47">
            <w:pPr>
              <w:pStyle w:val="BodyText"/>
              <w:spacing w:before="20" w:after="20"/>
            </w:pPr>
            <w:r>
              <w:rPr>
                <w:rFonts w:ascii="Palatino Linotype" w:hAnsi="Palatino Linotype"/>
                <w:sz w:val="19"/>
                <w:szCs w:val="19"/>
              </w:rPr>
              <w:t>Performance disparities tested across demographic groups; perceived procedural fairness and inclusion within teams</w:t>
            </w:r>
          </w:p>
        </w:tc>
        <w:tc>
          <w:tcPr>
            <w:tcW w:w="2810" w:type="dxa"/>
          </w:tcPr>
          <w:p w:rsidR="000C35B6" w:rsidRDefault="00E42C47">
            <w:pPr>
              <w:pStyle w:val="BodyText"/>
              <w:spacing w:before="20" w:after="20"/>
            </w:pPr>
            <w:r>
              <w:rPr>
                <w:rFonts w:ascii="Palatino Linotype" w:hAnsi="Palatino Linotype"/>
                <w:sz w:val="19"/>
                <w:szCs w:val="19"/>
              </w:rPr>
              <w:t>Mehrabi et al. (2021); Shore et al. (2011)</w:t>
            </w:r>
          </w:p>
        </w:tc>
      </w:tr>
      <w:tr w:rsidR="000C35B6">
        <w:trPr>
          <w:cantSplit/>
        </w:trPr>
        <w:tc>
          <w:tcPr>
            <w:tcW w:w="1650" w:type="dxa"/>
          </w:tcPr>
          <w:p w:rsidR="000C35B6" w:rsidRDefault="00E42C47">
            <w:pPr>
              <w:pStyle w:val="BodyText"/>
              <w:spacing w:before="20" w:after="20"/>
            </w:pPr>
            <w:r>
              <w:rPr>
                <w:rFonts w:ascii="Palatino Linotype" w:hAnsi="Palatino Linotype"/>
                <w:sz w:val="19"/>
                <w:szCs w:val="19"/>
              </w:rPr>
              <w:t>Social responsibility</w:t>
            </w:r>
          </w:p>
        </w:tc>
        <w:tc>
          <w:tcPr>
            <w:tcW w:w="4900" w:type="dxa"/>
          </w:tcPr>
          <w:p w:rsidR="000C35B6" w:rsidRDefault="00E42C47">
            <w:pPr>
              <w:pStyle w:val="BodyText"/>
              <w:spacing w:before="20" w:after="20"/>
            </w:pPr>
            <w:r>
              <w:rPr>
                <w:rFonts w:ascii="Palatino Linotype" w:hAnsi="Palatino Linotype"/>
                <w:sz w:val="19"/>
                <w:szCs w:val="19"/>
              </w:rPr>
              <w:t>Evidence of stakeholder engagement and societal impact assessment; alignment of projects with sustainability goals</w:t>
            </w:r>
          </w:p>
        </w:tc>
        <w:tc>
          <w:tcPr>
            <w:tcW w:w="2810" w:type="dxa"/>
          </w:tcPr>
          <w:p w:rsidR="000C35B6" w:rsidRDefault="00E42C47">
            <w:pPr>
              <w:pStyle w:val="BodyText"/>
              <w:spacing w:before="20" w:after="20"/>
            </w:pPr>
            <w:r>
              <w:rPr>
                <w:rFonts w:ascii="Palatino Linotype" w:hAnsi="Palatino Linotype"/>
                <w:sz w:val="19"/>
                <w:szCs w:val="19"/>
              </w:rPr>
              <w:t>Stilgoe et al. (2013); United Nations (2015)</w:t>
            </w:r>
          </w:p>
        </w:tc>
      </w:tr>
    </w:tbl>
    <w:p w:rsidR="000C35B6" w:rsidRDefault="000C35B6">
      <w:pPr>
        <w:pStyle w:val="BodyText"/>
        <w:spacing w:before="0" w:after="0"/>
        <w:jc w:val="both"/>
      </w:pPr>
    </w:p>
    <w:p w:rsidR="000C35B6" w:rsidRDefault="00E42C47">
      <w:pPr>
        <w:pStyle w:val="BodyText"/>
        <w:keepNext/>
        <w:jc w:val="both"/>
      </w:pPr>
      <w:r>
        <w:rPr>
          <w:rFonts w:ascii="Palatino Linotype" w:hAnsi="Palatino Linotype"/>
          <w:b/>
        </w:rPr>
        <w:t>Conclusion, Implications, and Recommendations</w:t>
      </w:r>
    </w:p>
    <w:p w:rsidR="000C35B6" w:rsidRDefault="00E42C47">
      <w:pPr>
        <w:pStyle w:val="BodyText"/>
        <w:jc w:val="both"/>
      </w:pPr>
      <w:r>
        <w:rPr>
          <w:rFonts w:ascii="Palatino Linotype" w:hAnsi="Palatino Linotype"/>
        </w:rPr>
        <w:t xml:space="preserve">Rapid technological changes require engineers to assume greater responsibilities as organizational leaders and agents of social transformation. This review indicates that technical excellence alone is insufficient to ensure organizational success. Rather, </w:t>
      </w:r>
      <w:r>
        <w:rPr>
          <w:rFonts w:ascii="Palatino Linotype" w:hAnsi="Palatino Linotype"/>
        </w:rPr>
        <w:t>values and integrity play a critical role in determining the effectiveness of engineering leadership. The five values identified, namely trustworthiness, integrity, accountability, fairness, and social responsibility, are interdependent, and they become co</w:t>
      </w:r>
      <w:r>
        <w:rPr>
          <w:rFonts w:ascii="Palatino Linotype" w:hAnsi="Palatino Linotype"/>
        </w:rPr>
        <w:t>nsequential when supported by organizational conditions that make ethical conduct possible and rewarded.</w:t>
      </w:r>
    </w:p>
    <w:p w:rsidR="000C35B6" w:rsidRDefault="00E42C47">
      <w:pPr>
        <w:pStyle w:val="BodyText"/>
        <w:jc w:val="both"/>
      </w:pPr>
      <w:r>
        <w:rPr>
          <w:rFonts w:ascii="Palatino Linotype" w:hAnsi="Palatino Linotype"/>
        </w:rPr>
        <w:t>The study recommends that higher education institutions incorporate values-based leadership components into engineering curricula. Engineering accredit</w:t>
      </w:r>
      <w:r>
        <w:rPr>
          <w:rFonts w:ascii="Palatino Linotype" w:hAnsi="Palatino Linotype"/>
        </w:rPr>
        <w:t>ation criteria such as those of ABET already call for professional and ethical responsibility (Shuman et al., 2005), yet leadership competence also needs deliberate development (Farr &amp; Brazil, 2009; Kumar &amp; Hsiao, 2007). Case-based teaching using documente</w:t>
      </w:r>
      <w:r>
        <w:rPr>
          <w:rFonts w:ascii="Palatino Linotype" w:hAnsi="Palatino Linotype"/>
        </w:rPr>
        <w:t xml:space="preserve">d failures such as the </w:t>
      </w:r>
      <w:r>
        <w:rPr>
          <w:rFonts w:ascii="Palatino Linotype" w:hAnsi="Palatino Linotype"/>
        </w:rPr>
        <w:lastRenderedPageBreak/>
        <w:t xml:space="preserve">Boeing 737 MAX (Harris et al., 2019; Herkert et al., 2020), together with a focus on moral courage, can help students rehearse how to act on their values under pressure. Curricula should also address AI ethics, algorithmic fairness, </w:t>
      </w:r>
      <w:r>
        <w:rPr>
          <w:rFonts w:ascii="Palatino Linotype" w:hAnsi="Palatino Linotype"/>
        </w:rPr>
        <w:t>and data governance as part of core engineering competence (Floridi et al., 2018; Mehrabi et al., 2021).</w:t>
      </w:r>
    </w:p>
    <w:p w:rsidR="000C35B6" w:rsidRDefault="00E42C47">
      <w:pPr>
        <w:pStyle w:val="BodyText"/>
        <w:jc w:val="both"/>
      </w:pPr>
      <w:r>
        <w:rPr>
          <w:rFonts w:ascii="Palatino Linotype" w:hAnsi="Palatino Linotype"/>
        </w:rPr>
        <w:t>Industrial organizations should provide leadership development programs that emphasize professional ethics and integrity. Beyond training, organization</w:t>
      </w:r>
      <w:r>
        <w:rPr>
          <w:rFonts w:ascii="Palatino Linotype" w:hAnsi="Palatino Linotype"/>
        </w:rPr>
        <w:t>s should cultivate ethical climates (Victor &amp; Cullen, 1988), create safe mechanisms for engineers to raise concerns (Detert &amp; Burris, 2007; Edmondson, 1999), and adopt internal auditing practices for AI and safety-critical systems (Raji et al., 2020). Rewa</w:t>
      </w:r>
      <w:r>
        <w:rPr>
          <w:rFonts w:ascii="Palatino Linotype" w:hAnsi="Palatino Linotype"/>
        </w:rPr>
        <w:t>rd systems should recognize ethical conduct and not only speed or cost performance (Brown et al., 2005).</w:t>
      </w:r>
    </w:p>
    <w:p w:rsidR="000C35B6" w:rsidRDefault="00E42C47">
      <w:pPr>
        <w:pStyle w:val="BodyText"/>
        <w:jc w:val="both"/>
      </w:pPr>
      <w:r>
        <w:rPr>
          <w:rFonts w:ascii="Palatino Linotype" w:hAnsi="Palatino Linotype"/>
        </w:rPr>
        <w:t>Furthermore, professional engineering bodies are encouraged to strengthen leadership competency development initiatives to ensure engineers are well-pr</w:t>
      </w:r>
      <w:r>
        <w:rPr>
          <w:rFonts w:ascii="Palatino Linotype" w:hAnsi="Palatino Linotype"/>
        </w:rPr>
        <w:t>epared for the challenges of digital transformation. Herkert et al. (2020) call for professional societies to take a more active role in ethics-related activities, and the Board of Engineers Malaysia, together with other professional bodies, is well placed</w:t>
      </w:r>
      <w:r>
        <w:rPr>
          <w:rFonts w:ascii="Palatino Linotype" w:hAnsi="Palatino Linotype"/>
        </w:rPr>
        <w:t xml:space="preserve"> to integrate leadership and digital ethics into continuing professional development. For policymakers, the National 4IR Policy’s emphasis on the ethical use of technology (Economic Planning Unit, 2021) and the strengthened data protection regime (Governme</w:t>
      </w:r>
      <w:r>
        <w:rPr>
          <w:rFonts w:ascii="Palatino Linotype" w:hAnsi="Palatino Linotype"/>
        </w:rPr>
        <w:t>nt of Malaysia, 2024) provide a regulatory foundation. However, evidence that AI ethics guidelines often lack enforcement mechanisms (Hagendorff, 2020) and diverge in implementation (Jobin et al., 2019) suggests that policy should be complemented by leader</w:t>
      </w:r>
      <w:r>
        <w:rPr>
          <w:rFonts w:ascii="Palatino Linotype" w:hAnsi="Palatino Linotype"/>
        </w:rPr>
        <w:t>ship capability and organizational accountability mechanisms.</w:t>
      </w:r>
    </w:p>
    <w:p w:rsidR="000C35B6" w:rsidRDefault="00E42C47">
      <w:pPr>
        <w:pStyle w:val="BodyText"/>
        <w:jc w:val="both"/>
      </w:pPr>
      <w:r>
        <w:rPr>
          <w:rFonts w:ascii="Palatino Linotype" w:hAnsi="Palatino Linotype"/>
        </w:rPr>
        <w:t>This study has limitations. As a conceptual review, it does not provide empirical evidence for the relationships proposed in the model, and the literature on which it draws is dominated by resea</w:t>
      </w:r>
      <w:r>
        <w:rPr>
          <w:rFonts w:ascii="Palatino Linotype" w:hAnsi="Palatino Linotype"/>
        </w:rPr>
        <w:t>rch from Western contexts, which may limit transferability to Malaysian engineering organizations. Future research should employ empirical approaches to examine the relationship between values-based leadership and organizational performance, innovation out</w:t>
      </w:r>
      <w:r>
        <w:rPr>
          <w:rFonts w:ascii="Palatino Linotype" w:hAnsi="Palatino Linotype"/>
        </w:rPr>
        <w:t>comes, and employee well-being within engineering contexts. Survey-based studies could validate measures of the five values and test the enabling conditions in the model, qualitative case studies in Malaysian engineering firms could examine how leaders han</w:t>
      </w:r>
      <w:r>
        <w:rPr>
          <w:rFonts w:ascii="Palatino Linotype" w:hAnsi="Palatino Linotype"/>
        </w:rPr>
        <w:t xml:space="preserve">dle ethical dilemmas involving AI and data, and cross-cultural comparisons could clarify how local ethical traditions, including the Islamic concept of </w:t>
      </w:r>
      <w:r>
        <w:rPr>
          <w:rFonts w:ascii="Palatino Linotype" w:hAnsi="Palatino Linotype"/>
          <w:i/>
        </w:rPr>
        <w:t>amanah</w:t>
      </w:r>
      <w:r>
        <w:rPr>
          <w:rFonts w:ascii="Palatino Linotype" w:hAnsi="Palatino Linotype"/>
        </w:rPr>
        <w:t>, shape the interpretation of these values.</w:t>
      </w:r>
    </w:p>
    <w:p w:rsidR="000C35B6" w:rsidRDefault="00E42C47">
      <w:pPr>
        <w:pStyle w:val="BodyText"/>
        <w:keepNext/>
        <w:jc w:val="both"/>
      </w:pPr>
      <w:r>
        <w:rPr>
          <w:rFonts w:ascii="Palatino Linotype" w:hAnsi="Palatino Linotype"/>
          <w:b/>
        </w:rPr>
        <w:t>References</w:t>
      </w:r>
    </w:p>
    <w:p w:rsidR="000C35B6" w:rsidRDefault="00E42C47">
      <w:pPr>
        <w:pStyle w:val="BodyText"/>
        <w:spacing w:before="0" w:after="70"/>
        <w:ind w:left="567" w:hanging="567"/>
      </w:pPr>
      <w:r>
        <w:rPr>
          <w:rFonts w:ascii="Palatino Linotype" w:hAnsi="Palatino Linotype"/>
        </w:rPr>
        <w:t>Ali, A. J., &amp; Al-Owaihan, A. (2008). Islami</w:t>
      </w:r>
      <w:r>
        <w:rPr>
          <w:rFonts w:ascii="Palatino Linotype" w:hAnsi="Palatino Linotype"/>
        </w:rPr>
        <w:t xml:space="preserve">c work ethic: A critical review. </w:t>
      </w:r>
      <w:r>
        <w:rPr>
          <w:rFonts w:ascii="Palatino Linotype" w:hAnsi="Palatino Linotype"/>
          <w:i/>
        </w:rPr>
        <w:t>Cross Cultural Management, 15</w:t>
      </w:r>
      <w:r>
        <w:rPr>
          <w:rFonts w:ascii="Palatino Linotype" w:hAnsi="Palatino Linotype"/>
        </w:rPr>
        <w:t>(1), 5–19.</w:t>
      </w:r>
    </w:p>
    <w:p w:rsidR="000C35B6" w:rsidRDefault="00E42C47">
      <w:pPr>
        <w:pStyle w:val="BodyText"/>
        <w:spacing w:before="0" w:after="70"/>
        <w:ind w:left="567" w:hanging="567"/>
      </w:pPr>
      <w:r>
        <w:rPr>
          <w:rFonts w:ascii="Palatino Linotype" w:hAnsi="Palatino Linotype"/>
        </w:rPr>
        <w:lastRenderedPageBreak/>
        <w:t xml:space="preserve">Avolio, B. J., &amp; Gardner, W. L. (2005). Authentic leadership development: Getting to the root of positive forms of leadership. </w:t>
      </w:r>
      <w:r>
        <w:rPr>
          <w:rFonts w:ascii="Palatino Linotype" w:hAnsi="Palatino Linotype"/>
          <w:i/>
        </w:rPr>
        <w:t>The Leadership Quarterly, 16</w:t>
      </w:r>
      <w:r>
        <w:rPr>
          <w:rFonts w:ascii="Palatino Linotype" w:hAnsi="Palatino Linotype"/>
        </w:rPr>
        <w:t>(3), 315–338.</w:t>
      </w:r>
    </w:p>
    <w:p w:rsidR="000C35B6" w:rsidRDefault="00E42C47">
      <w:pPr>
        <w:pStyle w:val="BodyText"/>
        <w:spacing w:before="0" w:after="70"/>
        <w:ind w:left="567" w:hanging="567"/>
      </w:pPr>
      <w:r>
        <w:rPr>
          <w:rFonts w:ascii="Palatino Linotype" w:hAnsi="Palatino Linotype"/>
        </w:rPr>
        <w:t>Bass, B. M., &amp;</w:t>
      </w:r>
      <w:r>
        <w:rPr>
          <w:rFonts w:ascii="Palatino Linotype" w:hAnsi="Palatino Linotype"/>
        </w:rPr>
        <w:t xml:space="preserve"> Riggio, R. E. (2006). </w:t>
      </w:r>
      <w:r>
        <w:rPr>
          <w:rFonts w:ascii="Palatino Linotype" w:hAnsi="Palatino Linotype"/>
          <w:i/>
        </w:rPr>
        <w:t>Transformational leadership</w:t>
      </w:r>
      <w:r>
        <w:rPr>
          <w:rFonts w:ascii="Palatino Linotype" w:hAnsi="Palatino Linotype"/>
        </w:rPr>
        <w:t xml:space="preserve"> (2nd ed.). Lawrence Erlbaum Associates.</w:t>
      </w:r>
    </w:p>
    <w:p w:rsidR="000C35B6" w:rsidRDefault="00E42C47">
      <w:pPr>
        <w:pStyle w:val="BodyText"/>
        <w:spacing w:before="0" w:after="70"/>
        <w:ind w:left="567" w:hanging="567"/>
      </w:pPr>
      <w:r>
        <w:rPr>
          <w:rFonts w:ascii="Palatino Linotype" w:hAnsi="Palatino Linotype"/>
        </w:rPr>
        <w:t xml:space="preserve">Beekun, R. I., &amp; Badawi, J. A. (2005). Balancing ethical responsibility among multiple organizational stakeholders: The Islamic perspective. </w:t>
      </w:r>
      <w:r>
        <w:rPr>
          <w:rFonts w:ascii="Palatino Linotype" w:hAnsi="Palatino Linotype"/>
          <w:i/>
        </w:rPr>
        <w:t>Journal of Business Ethi</w:t>
      </w:r>
      <w:r>
        <w:rPr>
          <w:rFonts w:ascii="Palatino Linotype" w:hAnsi="Palatino Linotype"/>
          <w:i/>
        </w:rPr>
        <w:t>cs, 60</w:t>
      </w:r>
      <w:r>
        <w:rPr>
          <w:rFonts w:ascii="Palatino Linotype" w:hAnsi="Palatino Linotype"/>
        </w:rPr>
        <w:t>(2), 131–145.</w:t>
      </w:r>
    </w:p>
    <w:p w:rsidR="000C35B6" w:rsidRDefault="00E42C47">
      <w:pPr>
        <w:pStyle w:val="BodyText"/>
        <w:spacing w:before="0" w:after="70"/>
        <w:ind w:left="567" w:hanging="567"/>
      </w:pPr>
      <w:r>
        <w:rPr>
          <w:rFonts w:ascii="Palatino Linotype" w:hAnsi="Palatino Linotype"/>
        </w:rPr>
        <w:t xml:space="preserve">Bowen, G. A. (2009). Document analysis as a qualitative research method. </w:t>
      </w:r>
      <w:r>
        <w:rPr>
          <w:rFonts w:ascii="Palatino Linotype" w:hAnsi="Palatino Linotype"/>
          <w:i/>
        </w:rPr>
        <w:t>Qualitative Research Journal, 9</w:t>
      </w:r>
      <w:r>
        <w:rPr>
          <w:rFonts w:ascii="Palatino Linotype" w:hAnsi="Palatino Linotype"/>
        </w:rPr>
        <w:t>(2), 27–40.</w:t>
      </w:r>
    </w:p>
    <w:p w:rsidR="000C35B6" w:rsidRDefault="00E42C47">
      <w:pPr>
        <w:pStyle w:val="BodyText"/>
        <w:spacing w:before="0" w:after="70"/>
        <w:ind w:left="567" w:hanging="567"/>
      </w:pPr>
      <w:r>
        <w:rPr>
          <w:rFonts w:ascii="Palatino Linotype" w:hAnsi="Palatino Linotype"/>
        </w:rPr>
        <w:t xml:space="preserve">Braun, V., &amp; Clarke, V. (2006). Using thematic analysis in psychology. </w:t>
      </w:r>
      <w:r>
        <w:rPr>
          <w:rFonts w:ascii="Palatino Linotype" w:hAnsi="Palatino Linotype"/>
          <w:i/>
        </w:rPr>
        <w:t>Qualitative Research in Psychology, 3</w:t>
      </w:r>
      <w:r>
        <w:rPr>
          <w:rFonts w:ascii="Palatino Linotype" w:hAnsi="Palatino Linotype"/>
        </w:rPr>
        <w:t>(2), 77–101.</w:t>
      </w:r>
    </w:p>
    <w:p w:rsidR="000C35B6" w:rsidRDefault="00E42C47">
      <w:pPr>
        <w:pStyle w:val="BodyText"/>
        <w:spacing w:before="0" w:after="70"/>
        <w:ind w:left="567" w:hanging="567"/>
      </w:pPr>
      <w:r>
        <w:rPr>
          <w:rFonts w:ascii="Palatino Linotype" w:hAnsi="Palatino Linotype"/>
        </w:rPr>
        <w:t xml:space="preserve">Brown, M. E., &amp; Treviño, L. K. (2006). Ethical leadership: A review and future directions. </w:t>
      </w:r>
      <w:r>
        <w:rPr>
          <w:rFonts w:ascii="Palatino Linotype" w:hAnsi="Palatino Linotype"/>
          <w:i/>
        </w:rPr>
        <w:t>The Leadership Quarterly, 17</w:t>
      </w:r>
      <w:r>
        <w:rPr>
          <w:rFonts w:ascii="Palatino Linotype" w:hAnsi="Palatino Linotype"/>
        </w:rPr>
        <w:t>(6), 595–616.</w:t>
      </w:r>
    </w:p>
    <w:p w:rsidR="000C35B6" w:rsidRDefault="00E42C47">
      <w:pPr>
        <w:pStyle w:val="BodyText"/>
        <w:spacing w:before="0" w:after="70"/>
        <w:ind w:left="567" w:hanging="567"/>
      </w:pPr>
      <w:r>
        <w:rPr>
          <w:rFonts w:ascii="Palatino Linotype" w:hAnsi="Palatino Linotype"/>
        </w:rPr>
        <w:t>Brown, M. E., Treviño, L. K., &amp; Harrison, D. A. (2005). Ethical leadership: A social learning perspective for construct de</w:t>
      </w:r>
      <w:r>
        <w:rPr>
          <w:rFonts w:ascii="Palatino Linotype" w:hAnsi="Palatino Linotype"/>
        </w:rPr>
        <w:t xml:space="preserve">velopment and testing. </w:t>
      </w:r>
      <w:r>
        <w:rPr>
          <w:rFonts w:ascii="Palatino Linotype" w:hAnsi="Palatino Linotype"/>
          <w:i/>
        </w:rPr>
        <w:t>Organizational Behavior and Human Decision Processes, 97</w:t>
      </w:r>
      <w:r>
        <w:rPr>
          <w:rFonts w:ascii="Palatino Linotype" w:hAnsi="Palatino Linotype"/>
        </w:rPr>
        <w:t>(2), 117–134.</w:t>
      </w:r>
    </w:p>
    <w:p w:rsidR="000C35B6" w:rsidRDefault="00E42C47">
      <w:pPr>
        <w:pStyle w:val="BodyText"/>
        <w:spacing w:before="0" w:after="70"/>
        <w:ind w:left="567" w:hanging="567"/>
      </w:pPr>
      <w:r>
        <w:rPr>
          <w:rFonts w:ascii="Palatino Linotype" w:hAnsi="Palatino Linotype"/>
        </w:rPr>
        <w:t xml:space="preserve">Brynjolfsson, E., &amp; McAfee, A. (2014). </w:t>
      </w:r>
      <w:r>
        <w:rPr>
          <w:rFonts w:ascii="Palatino Linotype" w:hAnsi="Palatino Linotype"/>
          <w:i/>
        </w:rPr>
        <w:t>The second machine age: Work, progress, and prosperity in a time of brilliant technologies</w:t>
      </w:r>
      <w:r>
        <w:rPr>
          <w:rFonts w:ascii="Palatino Linotype" w:hAnsi="Palatino Linotype"/>
        </w:rPr>
        <w:t>. W. W. Norton &amp; Company.</w:t>
      </w:r>
    </w:p>
    <w:p w:rsidR="000C35B6" w:rsidRDefault="00E42C47">
      <w:pPr>
        <w:pStyle w:val="BodyText"/>
        <w:spacing w:before="0" w:after="70"/>
        <w:ind w:left="567" w:hanging="567"/>
      </w:pPr>
      <w:r>
        <w:rPr>
          <w:rFonts w:ascii="Palatino Linotype" w:hAnsi="Palatino Linotype"/>
        </w:rPr>
        <w:t>Buolamwi</w:t>
      </w:r>
      <w:r>
        <w:rPr>
          <w:rFonts w:ascii="Palatino Linotype" w:hAnsi="Palatino Linotype"/>
        </w:rPr>
        <w:t xml:space="preserve">ni, J., &amp; Gebru, T. (2018). Gender shades: Intersectional accuracy disparities in commercial gender classification. </w:t>
      </w:r>
      <w:r>
        <w:rPr>
          <w:rFonts w:ascii="Palatino Linotype" w:hAnsi="Palatino Linotype"/>
          <w:i/>
        </w:rPr>
        <w:t>Proceedings of Machine Learning Research, 81</w:t>
      </w:r>
      <w:r>
        <w:rPr>
          <w:rFonts w:ascii="Palatino Linotype" w:hAnsi="Palatino Linotype"/>
        </w:rPr>
        <w:t>, 77–91.</w:t>
      </w:r>
    </w:p>
    <w:p w:rsidR="000C35B6" w:rsidRDefault="00E42C47">
      <w:pPr>
        <w:pStyle w:val="BodyText"/>
        <w:spacing w:before="0" w:after="70"/>
        <w:ind w:left="567" w:hanging="567"/>
      </w:pPr>
      <w:r>
        <w:rPr>
          <w:rFonts w:ascii="Palatino Linotype" w:hAnsi="Palatino Linotype"/>
        </w:rPr>
        <w:t xml:space="preserve">Ciulla, J. B. (Ed.). (2014). </w:t>
      </w:r>
      <w:r>
        <w:rPr>
          <w:rFonts w:ascii="Palatino Linotype" w:hAnsi="Palatino Linotype"/>
          <w:i/>
        </w:rPr>
        <w:t>Ethics, the heart of leadership</w:t>
      </w:r>
      <w:r>
        <w:rPr>
          <w:rFonts w:ascii="Palatino Linotype" w:hAnsi="Palatino Linotype"/>
        </w:rPr>
        <w:t xml:space="preserve"> (3rd ed.). Praeger.</w:t>
      </w:r>
    </w:p>
    <w:p w:rsidR="000C35B6" w:rsidRDefault="00E42C47">
      <w:pPr>
        <w:pStyle w:val="BodyText"/>
        <w:spacing w:before="0" w:after="70"/>
        <w:ind w:left="567" w:hanging="567"/>
      </w:pPr>
      <w:r>
        <w:rPr>
          <w:rFonts w:ascii="Palatino Linotype" w:hAnsi="Palatino Linotype"/>
        </w:rPr>
        <w:t>Davis,</w:t>
      </w:r>
      <w:r>
        <w:rPr>
          <w:rFonts w:ascii="Palatino Linotype" w:hAnsi="Palatino Linotype"/>
        </w:rPr>
        <w:t xml:space="preserve"> M. (1998). </w:t>
      </w:r>
      <w:r>
        <w:rPr>
          <w:rFonts w:ascii="Palatino Linotype" w:hAnsi="Palatino Linotype"/>
          <w:i/>
        </w:rPr>
        <w:t>Thinking like an engineer: Studies in the ethics of a profession</w:t>
      </w:r>
      <w:r>
        <w:rPr>
          <w:rFonts w:ascii="Palatino Linotype" w:hAnsi="Palatino Linotype"/>
        </w:rPr>
        <w:t>. Oxford University Press.</w:t>
      </w:r>
    </w:p>
    <w:p w:rsidR="000C35B6" w:rsidRDefault="00E42C47">
      <w:pPr>
        <w:pStyle w:val="BodyText"/>
        <w:spacing w:before="0" w:after="70"/>
        <w:ind w:left="567" w:hanging="567"/>
      </w:pPr>
      <w:r>
        <w:rPr>
          <w:rFonts w:ascii="Palatino Linotype" w:hAnsi="Palatino Linotype"/>
        </w:rPr>
        <w:t xml:space="preserve">Detert, J. R., &amp; Burris, E. R. (2007). Leadership behavior and employee voice: Is the door really open? </w:t>
      </w:r>
      <w:r>
        <w:rPr>
          <w:rFonts w:ascii="Palatino Linotype" w:hAnsi="Palatino Linotype"/>
          <w:i/>
        </w:rPr>
        <w:t>Academy of Management Journal, 50</w:t>
      </w:r>
      <w:r>
        <w:rPr>
          <w:rFonts w:ascii="Palatino Linotype" w:hAnsi="Palatino Linotype"/>
        </w:rPr>
        <w:t>(4), 869–884.</w:t>
      </w:r>
    </w:p>
    <w:p w:rsidR="000C35B6" w:rsidRDefault="00E42C47">
      <w:pPr>
        <w:pStyle w:val="BodyText"/>
        <w:spacing w:before="0" w:after="70"/>
        <w:ind w:left="567" w:hanging="567"/>
      </w:pPr>
      <w:r>
        <w:rPr>
          <w:rFonts w:ascii="Palatino Linotype" w:hAnsi="Palatino Linotype"/>
        </w:rPr>
        <w:t>Di</w:t>
      </w:r>
      <w:r>
        <w:rPr>
          <w:rFonts w:ascii="Palatino Linotype" w:hAnsi="Palatino Linotype"/>
        </w:rPr>
        <w:t xml:space="preserve">gnum, V. (2019). </w:t>
      </w:r>
      <w:r>
        <w:rPr>
          <w:rFonts w:ascii="Palatino Linotype" w:hAnsi="Palatino Linotype"/>
          <w:i/>
        </w:rPr>
        <w:t>Responsible artificial intelligence: How to develop and use AI in a responsible way</w:t>
      </w:r>
      <w:r>
        <w:rPr>
          <w:rFonts w:ascii="Palatino Linotype" w:hAnsi="Palatino Linotype"/>
        </w:rPr>
        <w:t>. Springer.</w:t>
      </w:r>
    </w:p>
    <w:p w:rsidR="000C35B6" w:rsidRDefault="00E42C47">
      <w:pPr>
        <w:pStyle w:val="BodyText"/>
        <w:spacing w:before="0" w:after="70"/>
        <w:ind w:left="567" w:hanging="567"/>
      </w:pPr>
      <w:r>
        <w:rPr>
          <w:rFonts w:ascii="Palatino Linotype" w:hAnsi="Palatino Linotype"/>
        </w:rPr>
        <w:t xml:space="preserve">Dirks, K. T., &amp; Ferrin, D. L. (2002). Trust in leadership: Meta-analytic findings and implications for research and practice. </w:t>
      </w:r>
      <w:r>
        <w:rPr>
          <w:rFonts w:ascii="Palatino Linotype" w:hAnsi="Palatino Linotype"/>
          <w:i/>
        </w:rPr>
        <w:t>Journal of Applied</w:t>
      </w:r>
      <w:r>
        <w:rPr>
          <w:rFonts w:ascii="Palatino Linotype" w:hAnsi="Palatino Linotype"/>
          <w:i/>
        </w:rPr>
        <w:t xml:space="preserve"> Psychology, 87</w:t>
      </w:r>
      <w:r>
        <w:rPr>
          <w:rFonts w:ascii="Palatino Linotype" w:hAnsi="Palatino Linotype"/>
        </w:rPr>
        <w:t>(4), 611–628.</w:t>
      </w:r>
    </w:p>
    <w:p w:rsidR="000C35B6" w:rsidRDefault="00E42C47">
      <w:pPr>
        <w:pStyle w:val="BodyText"/>
        <w:spacing w:before="0" w:after="70"/>
        <w:ind w:left="567" w:hanging="567"/>
      </w:pPr>
      <w:r>
        <w:rPr>
          <w:rFonts w:ascii="Palatino Linotype" w:hAnsi="Palatino Linotype"/>
        </w:rPr>
        <w:t xml:space="preserve">Economic Planning Unit. (2021). </w:t>
      </w:r>
      <w:r>
        <w:rPr>
          <w:rFonts w:ascii="Palatino Linotype" w:hAnsi="Palatino Linotype"/>
          <w:i/>
        </w:rPr>
        <w:t>National Fourth Industrial Revolution (4IR) policy</w:t>
      </w:r>
      <w:r>
        <w:rPr>
          <w:rFonts w:ascii="Palatino Linotype" w:hAnsi="Palatino Linotype"/>
        </w:rPr>
        <w:t>. Prime Minister’s Department, Malaysia. https://www.epu.gov.my/sites/default/files/2021-07/National-4IR-Policy.pdf</w:t>
      </w:r>
    </w:p>
    <w:p w:rsidR="000C35B6" w:rsidRDefault="00E42C47">
      <w:pPr>
        <w:pStyle w:val="BodyText"/>
        <w:spacing w:before="0" w:after="70"/>
        <w:ind w:left="567" w:hanging="567"/>
      </w:pPr>
      <w:r>
        <w:rPr>
          <w:rFonts w:ascii="Palatino Linotype" w:hAnsi="Palatino Linotype"/>
        </w:rPr>
        <w:t>Edmondson, A. (1999). Psychol</w:t>
      </w:r>
      <w:r>
        <w:rPr>
          <w:rFonts w:ascii="Palatino Linotype" w:hAnsi="Palatino Linotype"/>
        </w:rPr>
        <w:t xml:space="preserve">ogical safety and learning behavior in work teams. </w:t>
      </w:r>
      <w:r>
        <w:rPr>
          <w:rFonts w:ascii="Palatino Linotype" w:hAnsi="Palatino Linotype"/>
          <w:i/>
        </w:rPr>
        <w:t>Administrative Science Quarterly, 44</w:t>
      </w:r>
      <w:r>
        <w:rPr>
          <w:rFonts w:ascii="Palatino Linotype" w:hAnsi="Palatino Linotype"/>
        </w:rPr>
        <w:t>(2), 350–383.</w:t>
      </w:r>
    </w:p>
    <w:p w:rsidR="000C35B6" w:rsidRDefault="00E42C47">
      <w:pPr>
        <w:pStyle w:val="BodyText"/>
        <w:spacing w:before="0" w:after="70"/>
        <w:ind w:left="567" w:hanging="567"/>
      </w:pPr>
      <w:r>
        <w:rPr>
          <w:rFonts w:ascii="Palatino Linotype" w:hAnsi="Palatino Linotype"/>
        </w:rPr>
        <w:lastRenderedPageBreak/>
        <w:t xml:space="preserve">European Union. (2024). Regulation (EU) 2024/1689 of the European Parliament and of the Council of 13 June 2024 laying down harmonised rules on artificial intelligence (Artificial Intelligence Act). </w:t>
      </w:r>
      <w:r>
        <w:rPr>
          <w:rFonts w:ascii="Palatino Linotype" w:hAnsi="Palatino Linotype"/>
          <w:i/>
        </w:rPr>
        <w:t>Official Journal of the European Union</w:t>
      </w:r>
      <w:r>
        <w:rPr>
          <w:rFonts w:ascii="Palatino Linotype" w:hAnsi="Palatino Linotype"/>
        </w:rPr>
        <w:t>.</w:t>
      </w:r>
    </w:p>
    <w:p w:rsidR="000C35B6" w:rsidRDefault="00E42C47">
      <w:pPr>
        <w:pStyle w:val="BodyText"/>
        <w:spacing w:before="0" w:after="70"/>
        <w:ind w:left="567" w:hanging="567"/>
      </w:pPr>
      <w:r>
        <w:rPr>
          <w:rFonts w:ascii="Palatino Linotype" w:hAnsi="Palatino Linotype"/>
        </w:rPr>
        <w:t>Farr, J. V., &amp; Br</w:t>
      </w:r>
      <w:r>
        <w:rPr>
          <w:rFonts w:ascii="Palatino Linotype" w:hAnsi="Palatino Linotype"/>
        </w:rPr>
        <w:t xml:space="preserve">azil, D. M. (2009). Leadership skills development for engineers. </w:t>
      </w:r>
      <w:r>
        <w:rPr>
          <w:rFonts w:ascii="Palatino Linotype" w:hAnsi="Palatino Linotype"/>
          <w:i/>
        </w:rPr>
        <w:t>Engineering Management Journal, 21</w:t>
      </w:r>
      <w:r>
        <w:rPr>
          <w:rFonts w:ascii="Palatino Linotype" w:hAnsi="Palatino Linotype"/>
        </w:rPr>
        <w:t>(1), 3–8.</w:t>
      </w:r>
    </w:p>
    <w:p w:rsidR="000C35B6" w:rsidRDefault="00E42C47">
      <w:pPr>
        <w:pStyle w:val="BodyText"/>
        <w:spacing w:before="0" w:after="70"/>
        <w:ind w:left="567" w:hanging="567"/>
      </w:pPr>
      <w:r>
        <w:rPr>
          <w:rFonts w:ascii="Palatino Linotype" w:hAnsi="Palatino Linotype"/>
        </w:rPr>
        <w:t>Floridi, L., Cowls, J., Beltrametti, M., Chatila, R., Chazerand, P., Dignum, V., Luetge, C., Madelin, R., Pagallo, U., Rossi, F., Schafer, B., Valcke, P., &amp; Vayena, E. (2018). AI4People—An ethical framework for a good AI society: Opportunities, risks, prin</w:t>
      </w:r>
      <w:r>
        <w:rPr>
          <w:rFonts w:ascii="Palatino Linotype" w:hAnsi="Palatino Linotype"/>
        </w:rPr>
        <w:t xml:space="preserve">ciples, and recommendations. </w:t>
      </w:r>
      <w:r>
        <w:rPr>
          <w:rFonts w:ascii="Palatino Linotype" w:hAnsi="Palatino Linotype"/>
          <w:i/>
        </w:rPr>
        <w:t>Minds and Machines, 28</w:t>
      </w:r>
      <w:r>
        <w:rPr>
          <w:rFonts w:ascii="Palatino Linotype" w:hAnsi="Palatino Linotype"/>
        </w:rPr>
        <w:t>(4), 689–707.</w:t>
      </w:r>
    </w:p>
    <w:p w:rsidR="000C35B6" w:rsidRDefault="00E42C47">
      <w:pPr>
        <w:pStyle w:val="BodyText"/>
        <w:spacing w:before="0" w:after="70"/>
        <w:ind w:left="567" w:hanging="567"/>
      </w:pPr>
      <w:r>
        <w:rPr>
          <w:rFonts w:ascii="Palatino Linotype" w:hAnsi="Palatino Linotype"/>
        </w:rPr>
        <w:t xml:space="preserve">Government of Malaysia. (1967). </w:t>
      </w:r>
      <w:r>
        <w:rPr>
          <w:rFonts w:ascii="Palatino Linotype" w:hAnsi="Palatino Linotype"/>
          <w:i/>
        </w:rPr>
        <w:t>Registration of Engineers Act 1967 (Act 138)</w:t>
      </w:r>
      <w:r>
        <w:rPr>
          <w:rFonts w:ascii="Palatino Linotype" w:hAnsi="Palatino Linotype"/>
        </w:rPr>
        <w:t>. Laws of Malaysia.</w:t>
      </w:r>
    </w:p>
    <w:p w:rsidR="000C35B6" w:rsidRDefault="00E42C47">
      <w:pPr>
        <w:pStyle w:val="BodyText"/>
        <w:spacing w:before="0" w:after="70"/>
        <w:ind w:left="567" w:hanging="567"/>
      </w:pPr>
      <w:r>
        <w:rPr>
          <w:rFonts w:ascii="Palatino Linotype" w:hAnsi="Palatino Linotype"/>
        </w:rPr>
        <w:t xml:space="preserve">Government of Malaysia. (2010). </w:t>
      </w:r>
      <w:r>
        <w:rPr>
          <w:rFonts w:ascii="Palatino Linotype" w:hAnsi="Palatino Linotype"/>
          <w:i/>
        </w:rPr>
        <w:t>Personal Data Protection Act 2010 (Act 709)</w:t>
      </w:r>
      <w:r>
        <w:rPr>
          <w:rFonts w:ascii="Palatino Linotype" w:hAnsi="Palatino Linotype"/>
        </w:rPr>
        <w:t>. Laws of Malaysia.</w:t>
      </w:r>
    </w:p>
    <w:p w:rsidR="000C35B6" w:rsidRDefault="00E42C47">
      <w:pPr>
        <w:pStyle w:val="BodyText"/>
        <w:spacing w:before="0" w:after="70"/>
        <w:ind w:left="567" w:hanging="567"/>
      </w:pPr>
      <w:r>
        <w:rPr>
          <w:rFonts w:ascii="Palatino Linotype" w:hAnsi="Palatino Linotype"/>
        </w:rPr>
        <w:t xml:space="preserve">Government of Malaysia. (2024). </w:t>
      </w:r>
      <w:r>
        <w:rPr>
          <w:rFonts w:ascii="Palatino Linotype" w:hAnsi="Palatino Linotype"/>
          <w:i/>
        </w:rPr>
        <w:t>Personal Data Protection (Amendment) Act 2024 (Act A1727)</w:t>
      </w:r>
      <w:r>
        <w:rPr>
          <w:rFonts w:ascii="Palatino Linotype" w:hAnsi="Palatino Linotype"/>
        </w:rPr>
        <w:t>. Laws of Malaysia.</w:t>
      </w:r>
    </w:p>
    <w:p w:rsidR="000C35B6" w:rsidRDefault="00E42C47">
      <w:pPr>
        <w:pStyle w:val="BodyText"/>
        <w:spacing w:before="0" w:after="70"/>
        <w:ind w:left="567" w:hanging="567"/>
      </w:pPr>
      <w:r>
        <w:rPr>
          <w:rFonts w:ascii="Palatino Linotype" w:hAnsi="Palatino Linotype"/>
        </w:rPr>
        <w:t xml:space="preserve">Greenleaf, R. K. (1977). </w:t>
      </w:r>
      <w:r>
        <w:rPr>
          <w:rFonts w:ascii="Palatino Linotype" w:hAnsi="Palatino Linotype"/>
          <w:i/>
        </w:rPr>
        <w:t>Servant leadership: A journey into the nature of legitimate power and greatness</w:t>
      </w:r>
      <w:r>
        <w:rPr>
          <w:rFonts w:ascii="Palatino Linotype" w:hAnsi="Palatino Linotype"/>
        </w:rPr>
        <w:t>. Paulist Press.</w:t>
      </w:r>
    </w:p>
    <w:p w:rsidR="000C35B6" w:rsidRDefault="00E42C47">
      <w:pPr>
        <w:pStyle w:val="BodyText"/>
        <w:spacing w:before="0" w:after="70"/>
        <w:ind w:left="567" w:hanging="567"/>
      </w:pPr>
      <w:r>
        <w:rPr>
          <w:rFonts w:ascii="Palatino Linotype" w:hAnsi="Palatino Linotype"/>
        </w:rPr>
        <w:t>Hagendorff, T. (2020). The</w:t>
      </w:r>
      <w:r>
        <w:rPr>
          <w:rFonts w:ascii="Palatino Linotype" w:hAnsi="Palatino Linotype"/>
        </w:rPr>
        <w:t xml:space="preserve"> ethics of AI ethics: An evaluation of guidelines. </w:t>
      </w:r>
      <w:r>
        <w:rPr>
          <w:rFonts w:ascii="Palatino Linotype" w:hAnsi="Palatino Linotype"/>
          <w:i/>
        </w:rPr>
        <w:t>Minds and Machines, 30</w:t>
      </w:r>
      <w:r>
        <w:rPr>
          <w:rFonts w:ascii="Palatino Linotype" w:hAnsi="Palatino Linotype"/>
        </w:rPr>
        <w:t>(1), 99–120.</w:t>
      </w:r>
    </w:p>
    <w:p w:rsidR="000C35B6" w:rsidRDefault="00E42C47">
      <w:pPr>
        <w:pStyle w:val="BodyText"/>
        <w:spacing w:before="0" w:after="70"/>
        <w:ind w:left="567" w:hanging="567"/>
      </w:pPr>
      <w:r>
        <w:rPr>
          <w:rFonts w:ascii="Palatino Linotype" w:hAnsi="Palatino Linotype"/>
        </w:rPr>
        <w:t xml:space="preserve">Harris, C. E., Jr., Pritchard, M. S., Rabins, M. J., James, R. W., &amp; Englehardt, E. E. (2019). </w:t>
      </w:r>
      <w:r>
        <w:rPr>
          <w:rFonts w:ascii="Palatino Linotype" w:hAnsi="Palatino Linotype"/>
          <w:i/>
        </w:rPr>
        <w:t>Engineering ethics: Concepts and cases</w:t>
      </w:r>
      <w:r>
        <w:rPr>
          <w:rFonts w:ascii="Palatino Linotype" w:hAnsi="Palatino Linotype"/>
        </w:rPr>
        <w:t xml:space="preserve"> (6th ed.). Cengage Learning.</w:t>
      </w:r>
    </w:p>
    <w:p w:rsidR="000C35B6" w:rsidRDefault="00E42C47">
      <w:pPr>
        <w:pStyle w:val="BodyText"/>
        <w:spacing w:before="0" w:after="70"/>
        <w:ind w:left="567" w:hanging="567"/>
      </w:pPr>
      <w:r>
        <w:rPr>
          <w:rFonts w:ascii="Palatino Linotype" w:hAnsi="Palatino Linotype"/>
        </w:rPr>
        <w:t>Herkert</w:t>
      </w:r>
      <w:r>
        <w:rPr>
          <w:rFonts w:ascii="Palatino Linotype" w:hAnsi="Palatino Linotype"/>
        </w:rPr>
        <w:t xml:space="preserve">, J., Borenstein, J., &amp; Miller, K. (2020). The Boeing 737 MAX: Lessons for engineering ethics. </w:t>
      </w:r>
      <w:r>
        <w:rPr>
          <w:rFonts w:ascii="Palatino Linotype" w:hAnsi="Palatino Linotype"/>
          <w:i/>
        </w:rPr>
        <w:t>Science and Engineering Ethics, 26</w:t>
      </w:r>
      <w:r>
        <w:rPr>
          <w:rFonts w:ascii="Palatino Linotype" w:hAnsi="Palatino Linotype"/>
        </w:rPr>
        <w:t>(6), 2957–2974.</w:t>
      </w:r>
    </w:p>
    <w:p w:rsidR="000C35B6" w:rsidRDefault="00E42C47">
      <w:pPr>
        <w:pStyle w:val="BodyText"/>
        <w:spacing w:before="0" w:after="70"/>
        <w:ind w:left="567" w:hanging="567"/>
      </w:pPr>
      <w:r>
        <w:rPr>
          <w:rFonts w:ascii="Palatino Linotype" w:hAnsi="Palatino Linotype"/>
        </w:rPr>
        <w:t xml:space="preserve">Institute of Electrical and Electronics Engineers. (2020). </w:t>
      </w:r>
      <w:r>
        <w:rPr>
          <w:rFonts w:ascii="Palatino Linotype" w:hAnsi="Palatino Linotype"/>
          <w:i/>
        </w:rPr>
        <w:t>IEEE code of ethics</w:t>
      </w:r>
      <w:r>
        <w:rPr>
          <w:rFonts w:ascii="Palatino Linotype" w:hAnsi="Palatino Linotype"/>
        </w:rPr>
        <w:t xml:space="preserve"> (IEEE Policies, Section 7.8). IE</w:t>
      </w:r>
      <w:r>
        <w:rPr>
          <w:rFonts w:ascii="Palatino Linotype" w:hAnsi="Palatino Linotype"/>
        </w:rPr>
        <w:t>EE.</w:t>
      </w:r>
    </w:p>
    <w:p w:rsidR="000C35B6" w:rsidRDefault="00E42C47">
      <w:pPr>
        <w:pStyle w:val="BodyText"/>
        <w:spacing w:before="0" w:after="70"/>
        <w:ind w:left="567" w:hanging="567"/>
      </w:pPr>
      <w:r>
        <w:rPr>
          <w:rFonts w:ascii="Palatino Linotype" w:hAnsi="Palatino Linotype"/>
        </w:rPr>
        <w:t xml:space="preserve">Institution of Engineering and Technology. (2024). </w:t>
      </w:r>
      <w:r>
        <w:rPr>
          <w:rFonts w:ascii="Palatino Linotype" w:hAnsi="Palatino Linotype"/>
          <w:i/>
        </w:rPr>
        <w:t>Rules of conduct</w:t>
      </w:r>
      <w:r>
        <w:rPr>
          <w:rFonts w:ascii="Palatino Linotype" w:hAnsi="Palatino Linotype"/>
        </w:rPr>
        <w:t>. https://theiet.org/about/governance/rules-of-conduct</w:t>
      </w:r>
    </w:p>
    <w:p w:rsidR="000C35B6" w:rsidRDefault="00E42C47">
      <w:pPr>
        <w:pStyle w:val="BodyText"/>
        <w:spacing w:before="0" w:after="70"/>
        <w:ind w:left="567" w:hanging="567"/>
      </w:pPr>
      <w:r>
        <w:rPr>
          <w:rFonts w:ascii="Palatino Linotype" w:hAnsi="Palatino Linotype"/>
        </w:rPr>
        <w:t xml:space="preserve">Jaakkola, E. (2020). Designing conceptual articles: Four approaches. </w:t>
      </w:r>
      <w:r>
        <w:rPr>
          <w:rFonts w:ascii="Palatino Linotype" w:hAnsi="Palatino Linotype"/>
          <w:i/>
        </w:rPr>
        <w:t>AMS Review, 10</w:t>
      </w:r>
      <w:r>
        <w:rPr>
          <w:rFonts w:ascii="Palatino Linotype" w:hAnsi="Palatino Linotype"/>
        </w:rPr>
        <w:t>(1–2), 18–26.</w:t>
      </w:r>
    </w:p>
    <w:p w:rsidR="000C35B6" w:rsidRDefault="00E42C47">
      <w:pPr>
        <w:pStyle w:val="BodyText"/>
        <w:spacing w:before="0" w:after="70"/>
        <w:ind w:left="567" w:hanging="567"/>
      </w:pPr>
      <w:r>
        <w:rPr>
          <w:rFonts w:ascii="Palatino Linotype" w:hAnsi="Palatino Linotype"/>
        </w:rPr>
        <w:t>Jobin, A., Ienca, M., &amp; Vayena, E</w:t>
      </w:r>
      <w:r>
        <w:rPr>
          <w:rFonts w:ascii="Palatino Linotype" w:hAnsi="Palatino Linotype"/>
        </w:rPr>
        <w:t xml:space="preserve">. (2019). The global landscape of AI ethics guidelines. </w:t>
      </w:r>
      <w:r>
        <w:rPr>
          <w:rFonts w:ascii="Palatino Linotype" w:hAnsi="Palatino Linotype"/>
          <w:i/>
        </w:rPr>
        <w:t>Nature Machine Intelligence, 1</w:t>
      </w:r>
      <w:r>
        <w:rPr>
          <w:rFonts w:ascii="Palatino Linotype" w:hAnsi="Palatino Linotype"/>
        </w:rPr>
        <w:t>(9), 389–399.</w:t>
      </w:r>
    </w:p>
    <w:p w:rsidR="000C35B6" w:rsidRDefault="00E42C47">
      <w:pPr>
        <w:pStyle w:val="BodyText"/>
        <w:spacing w:before="0" w:after="70"/>
        <w:ind w:left="567" w:hanging="567"/>
      </w:pPr>
      <w:r>
        <w:rPr>
          <w:rFonts w:ascii="Palatino Linotype" w:hAnsi="Palatino Linotype"/>
        </w:rPr>
        <w:t>Kish-Gephart, J. J., Harrison, D. A., &amp; Treviño, L. K. (2010). Bad apples, bad cases, and bad barrels: Meta-analytic evidence about sources of unethical dec</w:t>
      </w:r>
      <w:r>
        <w:rPr>
          <w:rFonts w:ascii="Palatino Linotype" w:hAnsi="Palatino Linotype"/>
        </w:rPr>
        <w:t xml:space="preserve">isions at work. </w:t>
      </w:r>
      <w:r>
        <w:rPr>
          <w:rFonts w:ascii="Palatino Linotype" w:hAnsi="Palatino Linotype"/>
          <w:i/>
        </w:rPr>
        <w:t>Journal of Applied Psychology, 95</w:t>
      </w:r>
      <w:r>
        <w:rPr>
          <w:rFonts w:ascii="Palatino Linotype" w:hAnsi="Palatino Linotype"/>
        </w:rPr>
        <w:t>(1), 1–31.</w:t>
      </w:r>
    </w:p>
    <w:p w:rsidR="000C35B6" w:rsidRDefault="00E42C47">
      <w:pPr>
        <w:pStyle w:val="BodyText"/>
        <w:spacing w:before="0" w:after="70"/>
        <w:ind w:left="567" w:hanging="567"/>
      </w:pPr>
      <w:r>
        <w:rPr>
          <w:rFonts w:ascii="Palatino Linotype" w:hAnsi="Palatino Linotype"/>
        </w:rPr>
        <w:lastRenderedPageBreak/>
        <w:t xml:space="preserve">Kumar, S., &amp; Hsiao, J. K. (2007). Engineers learn “soft skills the hard way”: Planting a seed of leadership in engineering classes. </w:t>
      </w:r>
      <w:r>
        <w:rPr>
          <w:rFonts w:ascii="Palatino Linotype" w:hAnsi="Palatino Linotype"/>
          <w:i/>
        </w:rPr>
        <w:t>Leadership and Management in Engineering, 7</w:t>
      </w:r>
      <w:r>
        <w:rPr>
          <w:rFonts w:ascii="Palatino Linotype" w:hAnsi="Palatino Linotype"/>
        </w:rPr>
        <w:t>(1), 18–23.</w:t>
      </w:r>
    </w:p>
    <w:p w:rsidR="000C35B6" w:rsidRDefault="00E42C47">
      <w:pPr>
        <w:pStyle w:val="BodyText"/>
        <w:spacing w:before="0" w:after="70"/>
        <w:ind w:left="567" w:hanging="567"/>
      </w:pPr>
      <w:r>
        <w:rPr>
          <w:rFonts w:ascii="Palatino Linotype" w:hAnsi="Palatino Linotype"/>
        </w:rPr>
        <w:t>Maak, T.,</w:t>
      </w:r>
      <w:r>
        <w:rPr>
          <w:rFonts w:ascii="Palatino Linotype" w:hAnsi="Palatino Linotype"/>
        </w:rPr>
        <w:t xml:space="preserve"> &amp; Pless, N. M. (2006). Responsible leadership in a stakeholder society – A relational perspective. </w:t>
      </w:r>
      <w:r>
        <w:rPr>
          <w:rFonts w:ascii="Palatino Linotype" w:hAnsi="Palatino Linotype"/>
          <w:i/>
        </w:rPr>
        <w:t>Journal of Business Ethics, 66</w:t>
      </w:r>
      <w:r>
        <w:rPr>
          <w:rFonts w:ascii="Palatino Linotype" w:hAnsi="Palatino Linotype"/>
        </w:rPr>
        <w:t>(1), 99–115.</w:t>
      </w:r>
    </w:p>
    <w:p w:rsidR="000C35B6" w:rsidRDefault="00E42C47">
      <w:pPr>
        <w:pStyle w:val="BodyText"/>
        <w:spacing w:before="0" w:after="70"/>
        <w:ind w:left="567" w:hanging="567"/>
      </w:pPr>
      <w:r>
        <w:rPr>
          <w:rFonts w:ascii="Palatino Linotype" w:hAnsi="Palatino Linotype"/>
        </w:rPr>
        <w:t xml:space="preserve">Malaysian Integrity Institute. (2004). </w:t>
      </w:r>
      <w:r>
        <w:rPr>
          <w:rFonts w:ascii="Palatino Linotype" w:hAnsi="Palatino Linotype"/>
          <w:i/>
        </w:rPr>
        <w:t>National integrity plan</w:t>
      </w:r>
      <w:r>
        <w:rPr>
          <w:rFonts w:ascii="Palatino Linotype" w:hAnsi="Palatino Linotype"/>
        </w:rPr>
        <w:t>. Institut Integriti Malaysia.</w:t>
      </w:r>
    </w:p>
    <w:p w:rsidR="000C35B6" w:rsidRDefault="00E42C47">
      <w:pPr>
        <w:pStyle w:val="BodyText"/>
        <w:spacing w:before="0" w:after="70"/>
        <w:ind w:left="567" w:hanging="567"/>
      </w:pPr>
      <w:r>
        <w:rPr>
          <w:rFonts w:ascii="Palatino Linotype" w:hAnsi="Palatino Linotype"/>
        </w:rPr>
        <w:t>Mayer, R. C., Davis,</w:t>
      </w:r>
      <w:r>
        <w:rPr>
          <w:rFonts w:ascii="Palatino Linotype" w:hAnsi="Palatino Linotype"/>
        </w:rPr>
        <w:t xml:space="preserve"> J. H., &amp; Schoorman, F. D. (1995). An integrative model of organizational trust. </w:t>
      </w:r>
      <w:r>
        <w:rPr>
          <w:rFonts w:ascii="Palatino Linotype" w:hAnsi="Palatino Linotype"/>
          <w:i/>
        </w:rPr>
        <w:t>Academy of Management Review, 20</w:t>
      </w:r>
      <w:r>
        <w:rPr>
          <w:rFonts w:ascii="Palatino Linotype" w:hAnsi="Palatino Linotype"/>
        </w:rPr>
        <w:t>(3), 709–734.</w:t>
      </w:r>
    </w:p>
    <w:p w:rsidR="000C35B6" w:rsidRDefault="00E42C47">
      <w:pPr>
        <w:pStyle w:val="BodyText"/>
        <w:spacing w:before="0" w:after="70"/>
        <w:ind w:left="567" w:hanging="567"/>
      </w:pPr>
      <w:r>
        <w:rPr>
          <w:rFonts w:ascii="Palatino Linotype" w:hAnsi="Palatino Linotype"/>
        </w:rPr>
        <w:t xml:space="preserve">Mehrabi, N., Morstatter, F., Saxena, N., Lerman, K., &amp; Galstyan, A. (2021). A survey on bias and fairness in machine learning. </w:t>
      </w:r>
      <w:r>
        <w:rPr>
          <w:rFonts w:ascii="Palatino Linotype" w:hAnsi="Palatino Linotype"/>
          <w:i/>
        </w:rPr>
        <w:t>AC</w:t>
      </w:r>
      <w:r>
        <w:rPr>
          <w:rFonts w:ascii="Palatino Linotype" w:hAnsi="Palatino Linotype"/>
          <w:i/>
        </w:rPr>
        <w:t>M Computing Surveys, 54</w:t>
      </w:r>
      <w:r>
        <w:rPr>
          <w:rFonts w:ascii="Palatino Linotype" w:hAnsi="Palatino Linotype"/>
        </w:rPr>
        <w:t>(6), Article 115.</w:t>
      </w:r>
    </w:p>
    <w:p w:rsidR="000C35B6" w:rsidRDefault="00E42C47">
      <w:pPr>
        <w:pStyle w:val="BodyText"/>
        <w:spacing w:before="0" w:after="70"/>
        <w:ind w:left="567" w:hanging="567"/>
      </w:pPr>
      <w:r>
        <w:rPr>
          <w:rFonts w:ascii="Palatino Linotype" w:hAnsi="Palatino Linotype"/>
        </w:rPr>
        <w:t xml:space="preserve">Mittelstadt, B. D., Allo, P., Taddeo, M., Wachter, S., &amp; Floridi, L. (2016). The ethics of algorithms: Mapping the debate. </w:t>
      </w:r>
      <w:r>
        <w:rPr>
          <w:rFonts w:ascii="Palatino Linotype" w:hAnsi="Palatino Linotype"/>
          <w:i/>
        </w:rPr>
        <w:t>Big Data &amp; Society, 3</w:t>
      </w:r>
      <w:r>
        <w:rPr>
          <w:rFonts w:ascii="Palatino Linotype" w:hAnsi="Palatino Linotype"/>
        </w:rPr>
        <w:t>(2), 1–21.</w:t>
      </w:r>
    </w:p>
    <w:p w:rsidR="000C35B6" w:rsidRDefault="00E42C47">
      <w:pPr>
        <w:pStyle w:val="BodyText"/>
        <w:spacing w:before="0" w:after="70"/>
        <w:ind w:left="567" w:hanging="567"/>
      </w:pPr>
      <w:r>
        <w:rPr>
          <w:rFonts w:ascii="Palatino Linotype" w:hAnsi="Palatino Linotype"/>
        </w:rPr>
        <w:t xml:space="preserve">National Society of Professional Engineers. (2019). </w:t>
      </w:r>
      <w:r>
        <w:rPr>
          <w:rFonts w:ascii="Palatino Linotype" w:hAnsi="Palatino Linotype"/>
          <w:i/>
        </w:rPr>
        <w:t>NSPE cod</w:t>
      </w:r>
      <w:r>
        <w:rPr>
          <w:rFonts w:ascii="Palatino Linotype" w:hAnsi="Palatino Linotype"/>
          <w:i/>
        </w:rPr>
        <w:t>e of ethics for engineers</w:t>
      </w:r>
      <w:r>
        <w:rPr>
          <w:rFonts w:ascii="Palatino Linotype" w:hAnsi="Palatino Linotype"/>
        </w:rPr>
        <w:t>. NSPE.</w:t>
      </w:r>
    </w:p>
    <w:p w:rsidR="000C35B6" w:rsidRDefault="00E42C47">
      <w:pPr>
        <w:pStyle w:val="BodyText"/>
        <w:spacing w:before="0" w:after="70"/>
        <w:ind w:left="567" w:hanging="567"/>
      </w:pPr>
      <w:r>
        <w:rPr>
          <w:rFonts w:ascii="Palatino Linotype" w:hAnsi="Palatino Linotype"/>
        </w:rPr>
        <w:t xml:space="preserve">Northouse, P. G. (2021). </w:t>
      </w:r>
      <w:r>
        <w:rPr>
          <w:rFonts w:ascii="Palatino Linotype" w:hAnsi="Palatino Linotype"/>
          <w:i/>
        </w:rPr>
        <w:t>Leadership: Theory and practice</w:t>
      </w:r>
      <w:r>
        <w:rPr>
          <w:rFonts w:ascii="Palatino Linotype" w:hAnsi="Palatino Linotype"/>
        </w:rPr>
        <w:t xml:space="preserve"> (9th ed.). SAGE Publications.</w:t>
      </w:r>
    </w:p>
    <w:p w:rsidR="000C35B6" w:rsidRDefault="00E42C47">
      <w:pPr>
        <w:pStyle w:val="BodyText"/>
        <w:spacing w:before="0" w:after="70"/>
        <w:ind w:left="567" w:hanging="567"/>
      </w:pPr>
      <w:r>
        <w:rPr>
          <w:rFonts w:ascii="Palatino Linotype" w:hAnsi="Palatino Linotype"/>
        </w:rPr>
        <w:t>Obermeyer, Z., Powers, B., Vogeli, C., &amp; Mullainathan, S. (2019). Dissecting racial bias in an algorithm used to manage the health of po</w:t>
      </w:r>
      <w:r>
        <w:rPr>
          <w:rFonts w:ascii="Palatino Linotype" w:hAnsi="Palatino Linotype"/>
        </w:rPr>
        <w:t xml:space="preserve">pulations. </w:t>
      </w:r>
      <w:r>
        <w:rPr>
          <w:rFonts w:ascii="Palatino Linotype" w:hAnsi="Palatino Linotype"/>
          <w:i/>
        </w:rPr>
        <w:t>Science, 366</w:t>
      </w:r>
      <w:r>
        <w:rPr>
          <w:rFonts w:ascii="Palatino Linotype" w:hAnsi="Palatino Linotype"/>
        </w:rPr>
        <w:t>(6464), 447–453.</w:t>
      </w:r>
    </w:p>
    <w:p w:rsidR="000C35B6" w:rsidRDefault="00E42C47">
      <w:pPr>
        <w:pStyle w:val="BodyText"/>
        <w:spacing w:before="0" w:after="70"/>
        <w:ind w:left="567" w:hanging="567"/>
      </w:pPr>
      <w:r>
        <w:rPr>
          <w:rFonts w:ascii="Palatino Linotype" w:hAnsi="Palatino Linotype"/>
        </w:rPr>
        <w:t xml:space="preserve">Passow, H. J., &amp; Passow, C. H. (2017). What competencies should undergraduate engineering programs emphasize? A systematic review. </w:t>
      </w:r>
      <w:r>
        <w:rPr>
          <w:rFonts w:ascii="Palatino Linotype" w:hAnsi="Palatino Linotype"/>
          <w:i/>
        </w:rPr>
        <w:t>Journal of Engineering Education, 106</w:t>
      </w:r>
      <w:r>
        <w:rPr>
          <w:rFonts w:ascii="Palatino Linotype" w:hAnsi="Palatino Linotype"/>
        </w:rPr>
        <w:t>(3), 475–526.</w:t>
      </w:r>
    </w:p>
    <w:p w:rsidR="000C35B6" w:rsidRDefault="00E42C47">
      <w:pPr>
        <w:pStyle w:val="BodyText"/>
        <w:spacing w:before="0" w:after="70"/>
        <w:ind w:left="567" w:hanging="567"/>
      </w:pPr>
      <w:r>
        <w:rPr>
          <w:rFonts w:ascii="Palatino Linotype" w:hAnsi="Palatino Linotype"/>
        </w:rPr>
        <w:t xml:space="preserve">Raji, I. D., Smart, A., White, R. N., Mitchell, M., Gebru, T., Hutchinson, B., Smith-Loud, J., Theron, D., &amp; Barnes, P. (2020). Closing the AI accountability gap: Defining an end-to-end framework for internal algorithmic auditing. In </w:t>
      </w:r>
      <w:r>
        <w:rPr>
          <w:rFonts w:ascii="Palatino Linotype" w:hAnsi="Palatino Linotype"/>
          <w:i/>
        </w:rPr>
        <w:t>Proceedings of the 202</w:t>
      </w:r>
      <w:r>
        <w:rPr>
          <w:rFonts w:ascii="Palatino Linotype" w:hAnsi="Palatino Linotype"/>
          <w:i/>
        </w:rPr>
        <w:t>0 Conference on Fairness, Accountability, and Transparency</w:t>
      </w:r>
      <w:r>
        <w:rPr>
          <w:rFonts w:ascii="Palatino Linotype" w:hAnsi="Palatino Linotype"/>
        </w:rPr>
        <w:t xml:space="preserve"> (pp. 33–44). Association for Computing Machinery.</w:t>
      </w:r>
    </w:p>
    <w:p w:rsidR="000C35B6" w:rsidRDefault="00E42C47">
      <w:pPr>
        <w:pStyle w:val="BodyText"/>
        <w:spacing w:before="0" w:after="70"/>
        <w:ind w:left="567" w:hanging="567"/>
      </w:pPr>
      <w:r>
        <w:rPr>
          <w:rFonts w:ascii="Palatino Linotype" w:hAnsi="Palatino Linotype"/>
        </w:rPr>
        <w:t xml:space="preserve">Rottmann, C., Sacks, R., &amp; Reeve, D. (2015). Engineering leadership: Grounding leadership theory in engineers’ professional identities. </w:t>
      </w:r>
      <w:r>
        <w:rPr>
          <w:rFonts w:ascii="Palatino Linotype" w:hAnsi="Palatino Linotype"/>
          <w:i/>
        </w:rPr>
        <w:t>Leadership,</w:t>
      </w:r>
      <w:r>
        <w:rPr>
          <w:rFonts w:ascii="Palatino Linotype" w:hAnsi="Palatino Linotype"/>
          <w:i/>
        </w:rPr>
        <w:t xml:space="preserve"> 11</w:t>
      </w:r>
      <w:r>
        <w:rPr>
          <w:rFonts w:ascii="Palatino Linotype" w:hAnsi="Palatino Linotype"/>
        </w:rPr>
        <w:t>(3), 351–373.</w:t>
      </w:r>
    </w:p>
    <w:p w:rsidR="000C35B6" w:rsidRDefault="00E42C47">
      <w:pPr>
        <w:pStyle w:val="BodyText"/>
        <w:spacing w:before="0" w:after="70"/>
        <w:ind w:left="567" w:hanging="567"/>
      </w:pPr>
      <w:r>
        <w:rPr>
          <w:rFonts w:ascii="Palatino Linotype" w:hAnsi="Palatino Linotype"/>
        </w:rPr>
        <w:t xml:space="preserve">Schwab, K. (2017). </w:t>
      </w:r>
      <w:r>
        <w:rPr>
          <w:rFonts w:ascii="Palatino Linotype" w:hAnsi="Palatino Linotype"/>
          <w:i/>
        </w:rPr>
        <w:t>The fourth industrial revolution</w:t>
      </w:r>
      <w:r>
        <w:rPr>
          <w:rFonts w:ascii="Palatino Linotype" w:hAnsi="Palatino Linotype"/>
        </w:rPr>
        <w:t>. World Economic Forum.</w:t>
      </w:r>
    </w:p>
    <w:p w:rsidR="000C35B6" w:rsidRDefault="00E42C47">
      <w:pPr>
        <w:pStyle w:val="BodyText"/>
        <w:spacing w:before="0" w:after="70"/>
        <w:ind w:left="567" w:hanging="567"/>
      </w:pPr>
      <w:r>
        <w:rPr>
          <w:rFonts w:ascii="Palatino Linotype" w:hAnsi="Palatino Linotype"/>
        </w:rPr>
        <w:t>Shore, L. M., Randel, A. E., Chung, B. G., Dean, M. A., Ehrhart, K. H., &amp; Singh, G. (2011). Inclusion and diversity in work groups: A review and model for future re</w:t>
      </w:r>
      <w:r>
        <w:rPr>
          <w:rFonts w:ascii="Palatino Linotype" w:hAnsi="Palatino Linotype"/>
        </w:rPr>
        <w:t xml:space="preserve">search. </w:t>
      </w:r>
      <w:r>
        <w:rPr>
          <w:rFonts w:ascii="Palatino Linotype" w:hAnsi="Palatino Linotype"/>
          <w:i/>
        </w:rPr>
        <w:t>Journal of Management, 37</w:t>
      </w:r>
      <w:r>
        <w:rPr>
          <w:rFonts w:ascii="Palatino Linotype" w:hAnsi="Palatino Linotype"/>
        </w:rPr>
        <w:t>(4), 1262–1289.</w:t>
      </w:r>
    </w:p>
    <w:p w:rsidR="000C35B6" w:rsidRDefault="00E42C47">
      <w:pPr>
        <w:pStyle w:val="BodyText"/>
        <w:spacing w:before="0" w:after="70"/>
        <w:ind w:left="567" w:hanging="567"/>
      </w:pPr>
      <w:r>
        <w:rPr>
          <w:rFonts w:ascii="Palatino Linotype" w:hAnsi="Palatino Linotype"/>
        </w:rPr>
        <w:t xml:space="preserve">Shuman, L. J., Besterfield-Sacre, M., &amp; McGourty, J. (2005). The ABET “professional skills”—Can they be taught? Can they be assessed? </w:t>
      </w:r>
      <w:r>
        <w:rPr>
          <w:rFonts w:ascii="Palatino Linotype" w:hAnsi="Palatino Linotype"/>
          <w:i/>
        </w:rPr>
        <w:t>Journal of Engineering Education, 94</w:t>
      </w:r>
      <w:r>
        <w:rPr>
          <w:rFonts w:ascii="Palatino Linotype" w:hAnsi="Palatino Linotype"/>
        </w:rPr>
        <w:t>(1), 41–55.</w:t>
      </w:r>
    </w:p>
    <w:p w:rsidR="000C35B6" w:rsidRDefault="00E42C47">
      <w:pPr>
        <w:pStyle w:val="BodyText"/>
        <w:spacing w:before="0" w:after="70"/>
        <w:ind w:left="567" w:hanging="567"/>
      </w:pPr>
      <w:r>
        <w:rPr>
          <w:rFonts w:ascii="Palatino Linotype" w:hAnsi="Palatino Linotype"/>
        </w:rPr>
        <w:t xml:space="preserve">Sinek, S. (2014). </w:t>
      </w:r>
      <w:r>
        <w:rPr>
          <w:rFonts w:ascii="Palatino Linotype" w:hAnsi="Palatino Linotype"/>
          <w:i/>
        </w:rPr>
        <w:t>Leaders eat last: Why some teams pull together and others don’t</w:t>
      </w:r>
      <w:r>
        <w:rPr>
          <w:rFonts w:ascii="Palatino Linotype" w:hAnsi="Palatino Linotype"/>
        </w:rPr>
        <w:t>. Portfolio.</w:t>
      </w:r>
    </w:p>
    <w:p w:rsidR="000C35B6" w:rsidRDefault="00E42C47">
      <w:pPr>
        <w:pStyle w:val="BodyText"/>
        <w:spacing w:before="0" w:after="70"/>
        <w:ind w:left="567" w:hanging="567"/>
      </w:pPr>
      <w:r>
        <w:rPr>
          <w:rFonts w:ascii="Palatino Linotype" w:hAnsi="Palatino Linotype"/>
        </w:rPr>
        <w:lastRenderedPageBreak/>
        <w:t xml:space="preserve">Snyder, H. (2019). Literature review as a research methodology: An overview and guidelines. </w:t>
      </w:r>
      <w:r>
        <w:rPr>
          <w:rFonts w:ascii="Palatino Linotype" w:hAnsi="Palatino Linotype"/>
          <w:i/>
        </w:rPr>
        <w:t>Journal of Business Research, 104</w:t>
      </w:r>
      <w:r>
        <w:rPr>
          <w:rFonts w:ascii="Palatino Linotype" w:hAnsi="Palatino Linotype"/>
        </w:rPr>
        <w:t>, 333–339.</w:t>
      </w:r>
    </w:p>
    <w:p w:rsidR="000C35B6" w:rsidRDefault="00E42C47">
      <w:pPr>
        <w:pStyle w:val="BodyText"/>
        <w:spacing w:before="0" w:after="70"/>
        <w:ind w:left="567" w:hanging="567"/>
      </w:pPr>
      <w:r>
        <w:rPr>
          <w:rFonts w:ascii="Palatino Linotype" w:hAnsi="Palatino Linotype"/>
        </w:rPr>
        <w:t>Stilgoe, J., Owen, R., &amp; Macnaghten, P. (201</w:t>
      </w:r>
      <w:r>
        <w:rPr>
          <w:rFonts w:ascii="Palatino Linotype" w:hAnsi="Palatino Linotype"/>
        </w:rPr>
        <w:t xml:space="preserve">3). Developing a framework for responsible innovation. </w:t>
      </w:r>
      <w:r>
        <w:rPr>
          <w:rFonts w:ascii="Palatino Linotype" w:hAnsi="Palatino Linotype"/>
          <w:i/>
        </w:rPr>
        <w:t>Research Policy, 42</w:t>
      </w:r>
      <w:r>
        <w:rPr>
          <w:rFonts w:ascii="Palatino Linotype" w:hAnsi="Palatino Linotype"/>
        </w:rPr>
        <w:t>(9), 1568–1580.</w:t>
      </w:r>
    </w:p>
    <w:p w:rsidR="000C35B6" w:rsidRDefault="00E42C47">
      <w:pPr>
        <w:pStyle w:val="BodyText"/>
        <w:spacing w:before="0" w:after="70"/>
        <w:ind w:left="567" w:hanging="567"/>
      </w:pPr>
      <w:r>
        <w:rPr>
          <w:rFonts w:ascii="Palatino Linotype" w:hAnsi="Palatino Linotype"/>
        </w:rPr>
        <w:t xml:space="preserve">Treviño, L. K., Hartman, L. P., &amp; Brown, M. (2000). Moral person and moral manager: How executives develop a reputation for ethical leadership. </w:t>
      </w:r>
      <w:r>
        <w:rPr>
          <w:rFonts w:ascii="Palatino Linotype" w:hAnsi="Palatino Linotype"/>
          <w:i/>
        </w:rPr>
        <w:t xml:space="preserve">California Management </w:t>
      </w:r>
      <w:r>
        <w:rPr>
          <w:rFonts w:ascii="Palatino Linotype" w:hAnsi="Palatino Linotype"/>
          <w:i/>
        </w:rPr>
        <w:t>Review, 42</w:t>
      </w:r>
      <w:r>
        <w:rPr>
          <w:rFonts w:ascii="Palatino Linotype" w:hAnsi="Palatino Linotype"/>
        </w:rPr>
        <w:t>(4), 128–142.</w:t>
      </w:r>
    </w:p>
    <w:p w:rsidR="000C35B6" w:rsidRDefault="00E42C47">
      <w:pPr>
        <w:pStyle w:val="BodyText"/>
        <w:spacing w:before="0" w:after="70"/>
        <w:ind w:left="567" w:hanging="567"/>
      </w:pPr>
      <w:r>
        <w:rPr>
          <w:rFonts w:ascii="Palatino Linotype" w:hAnsi="Palatino Linotype"/>
        </w:rPr>
        <w:t xml:space="preserve">United Nations. (2015). </w:t>
      </w:r>
      <w:r>
        <w:rPr>
          <w:rFonts w:ascii="Palatino Linotype" w:hAnsi="Palatino Linotype"/>
          <w:i/>
        </w:rPr>
        <w:t>Transforming our world: The 2030 Agenda for Sustainable Development</w:t>
      </w:r>
      <w:r>
        <w:rPr>
          <w:rFonts w:ascii="Palatino Linotype" w:hAnsi="Palatino Linotype"/>
        </w:rPr>
        <w:t xml:space="preserve"> (A/RES/70/1). United Nations General Assembly.</w:t>
      </w:r>
    </w:p>
    <w:p w:rsidR="000C35B6" w:rsidRDefault="00E42C47">
      <w:pPr>
        <w:pStyle w:val="BodyText"/>
        <w:spacing w:before="0" w:after="70"/>
        <w:ind w:left="567" w:hanging="567"/>
      </w:pPr>
      <w:r>
        <w:rPr>
          <w:rFonts w:ascii="Palatino Linotype" w:hAnsi="Palatino Linotype"/>
        </w:rPr>
        <w:t xml:space="preserve">Vaughan, D. (1996). </w:t>
      </w:r>
      <w:r>
        <w:rPr>
          <w:rFonts w:ascii="Palatino Linotype" w:hAnsi="Palatino Linotype"/>
          <w:i/>
        </w:rPr>
        <w:t>The Challenger launch decision: Risky technology, culture, and deviance a</w:t>
      </w:r>
      <w:r>
        <w:rPr>
          <w:rFonts w:ascii="Palatino Linotype" w:hAnsi="Palatino Linotype"/>
          <w:i/>
        </w:rPr>
        <w:t>t NASA</w:t>
      </w:r>
      <w:r>
        <w:rPr>
          <w:rFonts w:ascii="Palatino Linotype" w:hAnsi="Palatino Linotype"/>
        </w:rPr>
        <w:t>. University of Chicago Press.</w:t>
      </w:r>
    </w:p>
    <w:p w:rsidR="000C35B6" w:rsidRDefault="00E42C47">
      <w:pPr>
        <w:pStyle w:val="BodyText"/>
        <w:spacing w:before="0" w:after="70"/>
        <w:ind w:left="567" w:hanging="567"/>
      </w:pPr>
      <w:r>
        <w:rPr>
          <w:rFonts w:ascii="Palatino Linotype" w:hAnsi="Palatino Linotype"/>
        </w:rPr>
        <w:t xml:space="preserve">Vial, G. (2019). Understanding digital transformation: A review and a research agenda. </w:t>
      </w:r>
      <w:r>
        <w:rPr>
          <w:rFonts w:ascii="Palatino Linotype" w:hAnsi="Palatino Linotype"/>
          <w:i/>
        </w:rPr>
        <w:t>The Journal of Strategic Information Systems, 28</w:t>
      </w:r>
      <w:r>
        <w:rPr>
          <w:rFonts w:ascii="Palatino Linotype" w:hAnsi="Palatino Linotype"/>
        </w:rPr>
        <w:t>(2), 118–144.</w:t>
      </w:r>
    </w:p>
    <w:p w:rsidR="000C35B6" w:rsidRDefault="00E42C47">
      <w:pPr>
        <w:pStyle w:val="BodyText"/>
        <w:spacing w:before="0" w:after="70"/>
        <w:ind w:left="567" w:hanging="567"/>
      </w:pPr>
      <w:r>
        <w:rPr>
          <w:rFonts w:ascii="Palatino Linotype" w:hAnsi="Palatino Linotype"/>
        </w:rPr>
        <w:t>Victor, B., &amp; Cullen, J. B. (1988). The organizational bases of ethica</w:t>
      </w:r>
      <w:r>
        <w:rPr>
          <w:rFonts w:ascii="Palatino Linotype" w:hAnsi="Palatino Linotype"/>
        </w:rPr>
        <w:t xml:space="preserve">l work climates. </w:t>
      </w:r>
      <w:r>
        <w:rPr>
          <w:rFonts w:ascii="Palatino Linotype" w:hAnsi="Palatino Linotype"/>
          <w:i/>
        </w:rPr>
        <w:t>Administrative Science Quarterly, 33</w:t>
      </w:r>
      <w:r>
        <w:rPr>
          <w:rFonts w:ascii="Palatino Linotype" w:hAnsi="Palatino Linotype"/>
        </w:rPr>
        <w:t>(1), 101–125.</w:t>
      </w:r>
    </w:p>
    <w:p w:rsidR="000C35B6" w:rsidRDefault="00E42C47">
      <w:pPr>
        <w:pStyle w:val="BodyText"/>
        <w:spacing w:before="0" w:after="70"/>
        <w:ind w:left="567" w:hanging="567"/>
      </w:pPr>
      <w:r>
        <w:rPr>
          <w:rFonts w:ascii="Palatino Linotype" w:hAnsi="Palatino Linotype"/>
        </w:rPr>
        <w:t xml:space="preserve">von Schomberg, R. (2013). A vision of responsible research and innovation. In R. Owen, J. Bessant, &amp; M. Heintz (Eds.), </w:t>
      </w:r>
      <w:r>
        <w:rPr>
          <w:rFonts w:ascii="Palatino Linotype" w:hAnsi="Palatino Linotype"/>
          <w:i/>
        </w:rPr>
        <w:t xml:space="preserve">Responsible innovation: Managing the responsible emergence of science </w:t>
      </w:r>
      <w:r>
        <w:rPr>
          <w:rFonts w:ascii="Palatino Linotype" w:hAnsi="Palatino Linotype"/>
          <w:i/>
        </w:rPr>
        <w:t>and innovation in society</w:t>
      </w:r>
      <w:r>
        <w:rPr>
          <w:rFonts w:ascii="Palatino Linotype" w:hAnsi="Palatino Linotype"/>
        </w:rPr>
        <w:t xml:space="preserve"> (pp. 51–74). John Wiley &amp; Sons.</w:t>
      </w:r>
    </w:p>
    <w:p w:rsidR="000C35B6" w:rsidRDefault="00E42C47">
      <w:pPr>
        <w:pStyle w:val="BodyText"/>
        <w:spacing w:before="0" w:after="70"/>
        <w:ind w:left="567" w:hanging="567"/>
      </w:pPr>
      <w:r>
        <w:rPr>
          <w:rFonts w:ascii="Palatino Linotype" w:hAnsi="Palatino Linotype"/>
        </w:rPr>
        <w:t xml:space="preserve">Webster, J., &amp; Watson, R. T. (2002). Analyzing the past to prepare for the future: Writing a literature review. </w:t>
      </w:r>
      <w:r>
        <w:rPr>
          <w:rFonts w:ascii="Palatino Linotype" w:hAnsi="Palatino Linotype"/>
          <w:i/>
        </w:rPr>
        <w:t>MIS Quarterly, 26</w:t>
      </w:r>
      <w:r>
        <w:rPr>
          <w:rFonts w:ascii="Palatino Linotype" w:hAnsi="Palatino Linotype"/>
        </w:rPr>
        <w:t>(2), xiii–xxiii.</w:t>
      </w:r>
    </w:p>
    <w:p w:rsidR="000C35B6" w:rsidRDefault="00E42C47">
      <w:pPr>
        <w:pStyle w:val="BodyText"/>
        <w:spacing w:before="0" w:after="70"/>
        <w:ind w:left="567" w:hanging="567"/>
      </w:pPr>
      <w:r>
        <w:rPr>
          <w:rFonts w:ascii="Palatino Linotype" w:hAnsi="Palatino Linotype"/>
        </w:rPr>
        <w:t>World Commission on Environment and Development. (19</w:t>
      </w:r>
      <w:r>
        <w:rPr>
          <w:rFonts w:ascii="Palatino Linotype" w:hAnsi="Palatino Linotype"/>
        </w:rPr>
        <w:t xml:space="preserve">87). </w:t>
      </w:r>
      <w:r>
        <w:rPr>
          <w:rFonts w:ascii="Palatino Linotype" w:hAnsi="Palatino Linotype"/>
          <w:i/>
        </w:rPr>
        <w:t>Our common future</w:t>
      </w:r>
      <w:r>
        <w:rPr>
          <w:rFonts w:ascii="Palatino Linotype" w:hAnsi="Palatino Linotype"/>
        </w:rPr>
        <w:t>. Oxford University Press.</w:t>
      </w:r>
    </w:p>
    <w:p w:rsidR="000C35B6" w:rsidRDefault="00E42C47">
      <w:pPr>
        <w:pStyle w:val="BodyText"/>
        <w:spacing w:before="0" w:after="70"/>
        <w:ind w:left="567" w:hanging="567"/>
      </w:pPr>
      <w:r>
        <w:rPr>
          <w:rFonts w:ascii="Palatino Linotype" w:hAnsi="Palatino Linotype"/>
        </w:rPr>
        <w:t xml:space="preserve">Xu, L. D., Xu, E. L., &amp; Li, L. (2018). Industry 4.0: State of the art and future trends. </w:t>
      </w:r>
      <w:r>
        <w:rPr>
          <w:rFonts w:ascii="Palatino Linotype" w:hAnsi="Palatino Linotype"/>
          <w:i/>
        </w:rPr>
        <w:t>International Journal of Production Research, 56</w:t>
      </w:r>
      <w:r>
        <w:rPr>
          <w:rFonts w:ascii="Palatino Linotype" w:hAnsi="Palatino Linotype"/>
        </w:rPr>
        <w:t>(8), 2941–2962.</w:t>
      </w:r>
    </w:p>
    <w:p w:rsidR="000C35B6" w:rsidRDefault="00E42C47">
      <w:pPr>
        <w:pStyle w:val="BodyText"/>
        <w:spacing w:before="0" w:after="70"/>
        <w:ind w:left="567" w:hanging="567"/>
      </w:pPr>
      <w:r>
        <w:rPr>
          <w:rFonts w:ascii="Palatino Linotype" w:hAnsi="Palatino Linotype"/>
        </w:rPr>
        <w:t xml:space="preserve">Yukl, G., &amp; Gardner, W. L., III. (2020). </w:t>
      </w:r>
      <w:r>
        <w:rPr>
          <w:rFonts w:ascii="Palatino Linotype" w:hAnsi="Palatino Linotype"/>
          <w:i/>
        </w:rPr>
        <w:t>Leadership in</w:t>
      </w:r>
      <w:r>
        <w:rPr>
          <w:rFonts w:ascii="Palatino Linotype" w:hAnsi="Palatino Linotype"/>
          <w:i/>
        </w:rPr>
        <w:t xml:space="preserve"> organizations</w:t>
      </w:r>
      <w:r>
        <w:rPr>
          <w:rFonts w:ascii="Palatino Linotype" w:hAnsi="Palatino Linotype"/>
        </w:rPr>
        <w:t xml:space="preserve"> (9th ed.). Pearson.</w:t>
      </w:r>
    </w:p>
    <w:p w:rsidR="000C35B6" w:rsidRDefault="00E42C47">
      <w:pPr>
        <w:pStyle w:val="BodyText"/>
        <w:spacing w:before="0" w:after="70"/>
        <w:ind w:left="567" w:hanging="567"/>
      </w:pPr>
      <w:r>
        <w:rPr>
          <w:rFonts w:ascii="Palatino Linotype" w:hAnsi="Palatino Linotype"/>
        </w:rPr>
        <w:t xml:space="preserve">Zuboff, S. (2019). </w:t>
      </w:r>
      <w:r>
        <w:rPr>
          <w:rFonts w:ascii="Palatino Linotype" w:hAnsi="Palatino Linotype"/>
          <w:i/>
        </w:rPr>
        <w:t>The age of surveillance capitalism: The fight for a human future at the new frontier of power</w:t>
      </w:r>
      <w:r>
        <w:rPr>
          <w:rFonts w:ascii="Palatino Linotype" w:hAnsi="Palatino Linotype"/>
        </w:rPr>
        <w:t>. PublicAffairs.</w:t>
      </w:r>
    </w:p>
    <w:sectPr w:rsidR="000C35B6">
      <w:footerReference w:type="default" r:id="rId8"/>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2C47" w:rsidRDefault="00E42C47" w:rsidP="003F4E8C">
      <w:pPr>
        <w:spacing w:after="0"/>
      </w:pPr>
      <w:r>
        <w:separator/>
      </w:r>
    </w:p>
  </w:endnote>
  <w:endnote w:type="continuationSeparator" w:id="0">
    <w:p w:rsidR="00E42C47" w:rsidRDefault="00E42C47" w:rsidP="003F4E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9859403"/>
      <w:docPartObj>
        <w:docPartGallery w:val="Page Numbers (Bottom of Page)"/>
        <w:docPartUnique/>
      </w:docPartObj>
    </w:sdtPr>
    <w:sdtEndPr>
      <w:rPr>
        <w:noProof/>
      </w:rPr>
    </w:sdtEndPr>
    <w:sdtContent>
      <w:p w:rsidR="003F4E8C" w:rsidRDefault="003F4E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F4E8C" w:rsidRDefault="003F4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2C47" w:rsidRDefault="00E42C47" w:rsidP="003F4E8C">
      <w:pPr>
        <w:spacing w:after="0"/>
      </w:pPr>
      <w:r>
        <w:separator/>
      </w:r>
    </w:p>
  </w:footnote>
  <w:footnote w:type="continuationSeparator" w:id="0">
    <w:p w:rsidR="00E42C47" w:rsidRDefault="00E42C47" w:rsidP="003F4E8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EE42EC2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78"/>
    <w:rsid w:val="0008274A"/>
    <w:rsid w:val="000C35B6"/>
    <w:rsid w:val="0021745A"/>
    <w:rsid w:val="002F5BB7"/>
    <w:rsid w:val="003F4E8C"/>
    <w:rsid w:val="00587C3D"/>
    <w:rsid w:val="00613478"/>
    <w:rsid w:val="006A6730"/>
    <w:rsid w:val="00873DCB"/>
    <w:rsid w:val="00D20EDA"/>
    <w:rsid w:val="00D8695F"/>
    <w:rsid w:val="00DA05C3"/>
    <w:rsid w:val="00E42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5C5850-B01C-40A0-B0F3-0D579AA4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3F4E8C"/>
    <w:pPr>
      <w:tabs>
        <w:tab w:val="center" w:pos="4513"/>
        <w:tab w:val="right" w:pos="9026"/>
      </w:tabs>
      <w:spacing w:after="0"/>
    </w:pPr>
  </w:style>
  <w:style w:type="character" w:customStyle="1" w:styleId="HeaderChar">
    <w:name w:val="Header Char"/>
    <w:basedOn w:val="DefaultParagraphFont"/>
    <w:link w:val="Header"/>
    <w:rsid w:val="003F4E8C"/>
  </w:style>
  <w:style w:type="paragraph" w:styleId="Footer">
    <w:name w:val="footer"/>
    <w:basedOn w:val="Normal"/>
    <w:link w:val="FooterChar"/>
    <w:uiPriority w:val="99"/>
    <w:unhideWhenUsed/>
    <w:rsid w:val="003F4E8C"/>
    <w:pPr>
      <w:tabs>
        <w:tab w:val="center" w:pos="4513"/>
        <w:tab w:val="right" w:pos="9026"/>
      </w:tabs>
      <w:spacing w:after="0"/>
    </w:pPr>
  </w:style>
  <w:style w:type="character" w:customStyle="1" w:styleId="FooterChar">
    <w:name w:val="Footer Char"/>
    <w:basedOn w:val="DefaultParagraphFont"/>
    <w:link w:val="Footer"/>
    <w:uiPriority w:val="99"/>
    <w:rsid w:val="003F4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7285</Words>
  <Characters>41525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SHAHRULANUAR BIN MOHAMED</dc:creator>
  <cp:keywords/>
  <cp:lastModifiedBy>DR. SHAHRULANUAR BIN MOHAMED</cp:lastModifiedBy>
  <cp:revision>2</cp:revision>
  <dcterms:created xsi:type="dcterms:W3CDTF">2026-10-02T06:10:00Z</dcterms:created>
  <dcterms:modified xsi:type="dcterms:W3CDTF">2026-10-02T06:10:00Z</dcterms:modified>
</cp:coreProperties>
</file>