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317C65" w14:paraId="05C36459" w14:textId="77777777" w:rsidTr="0011697D">
        <w:trPr>
          <w:trHeight w:val="2536"/>
        </w:trPr>
        <w:tc>
          <w:tcPr>
            <w:tcW w:w="11281" w:type="dxa"/>
          </w:tcPr>
          <w:p w14:paraId="06D07273" w14:textId="544967D7" w:rsidR="00317C65" w:rsidRDefault="003B0E8F" w:rsidP="00317C65">
            <w:r>
              <w:rPr>
                <w:noProof/>
              </w:rPr>
              <w:drawing>
                <wp:inline distT="0" distB="0" distL="0" distR="0" wp14:anchorId="1F218317" wp14:editId="7D596CF3">
                  <wp:extent cx="6984873" cy="1600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73CD2405" w14:textId="1B267916" w:rsidR="00317C65" w:rsidRDefault="00317C65"/>
    <w:tbl>
      <w:tblPr>
        <w:tblStyle w:val="TableGrid"/>
        <w:tblpPr w:leftFromText="180" w:rightFromText="180" w:vertAnchor="page" w:horzAnchor="page" w:tblpX="496" w:tblpY="3676"/>
        <w:tblW w:w="10975"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0975"/>
      </w:tblGrid>
      <w:tr w:rsidR="003833A3" w:rsidRPr="003833A3" w14:paraId="04FC0B12" w14:textId="77777777" w:rsidTr="009D00BD">
        <w:trPr>
          <w:trHeight w:val="399"/>
        </w:trPr>
        <w:tc>
          <w:tcPr>
            <w:tcW w:w="10975" w:type="dxa"/>
          </w:tcPr>
          <w:p w14:paraId="30548960" w14:textId="3786A378" w:rsidR="00C97CF8" w:rsidRPr="00AA32E1" w:rsidRDefault="00C97CF8" w:rsidP="00C97CF8">
            <w:pPr>
              <w:pStyle w:val="Heading11"/>
              <w:jc w:val="left"/>
              <w:rPr>
                <w:lang w:val="en-GB"/>
              </w:rPr>
            </w:pPr>
            <w:r w:rsidRPr="00AA32E1">
              <w:rPr>
                <w:lang w:val="en-GB"/>
              </w:rPr>
              <w:t xml:space="preserve">Assessing the Relationship between Budget Participation and Employees’ Performance of Public Universities in Ghana: </w:t>
            </w:r>
            <w:r w:rsidR="006266B8">
              <w:rPr>
                <w:lang w:val="en-GB"/>
              </w:rPr>
              <w:t>A</w:t>
            </w:r>
            <w:r w:rsidRPr="00AA32E1">
              <w:rPr>
                <w:lang w:val="en-GB"/>
              </w:rPr>
              <w:t xml:space="preserve"> Case of University of Education</w:t>
            </w:r>
          </w:p>
          <w:p w14:paraId="362704C9" w14:textId="77777777" w:rsidR="00C97CF8" w:rsidRPr="00AA32E1" w:rsidRDefault="00C97CF8" w:rsidP="00C97CF8">
            <w:pPr>
              <w:jc w:val="center"/>
              <w:rPr>
                <w:rFonts w:ascii="Calibri" w:hAnsi="Calibri" w:cs="Calibri"/>
                <w:sz w:val="24"/>
                <w:szCs w:val="24"/>
              </w:rPr>
            </w:pPr>
          </w:p>
          <w:p w14:paraId="4B9E1CE0" w14:textId="0E850E3A" w:rsidR="00A376FD" w:rsidRPr="00C97CF8" w:rsidRDefault="00C97CF8" w:rsidP="00C97CF8">
            <w:pPr>
              <w:pStyle w:val="Normal1"/>
              <w:ind w:right="40"/>
              <w:rPr>
                <w:rFonts w:ascii="Arial" w:hAnsi="Arial" w:cs="Arial"/>
                <w:sz w:val="10"/>
                <w:szCs w:val="10"/>
              </w:rPr>
            </w:pPr>
            <w:r w:rsidRPr="00C97CF8">
              <w:rPr>
                <w:rFonts w:ascii="Arial" w:hAnsi="Arial" w:cs="Arial"/>
                <w:iCs/>
                <w:sz w:val="32"/>
                <w:szCs w:val="32"/>
              </w:rPr>
              <w:t xml:space="preserve">Eric Edwin Owusu, Gabriel </w:t>
            </w:r>
            <w:proofErr w:type="spellStart"/>
            <w:r w:rsidRPr="00C97CF8">
              <w:rPr>
                <w:rFonts w:ascii="Arial" w:hAnsi="Arial" w:cs="Arial"/>
                <w:iCs/>
                <w:sz w:val="32"/>
                <w:szCs w:val="32"/>
              </w:rPr>
              <w:t>Dwomoh</w:t>
            </w:r>
            <w:proofErr w:type="spellEnd"/>
            <w:r w:rsidRPr="00C97CF8">
              <w:rPr>
                <w:rFonts w:ascii="Arial" w:hAnsi="Arial" w:cs="Arial"/>
                <w:iCs/>
                <w:sz w:val="32"/>
                <w:szCs w:val="32"/>
              </w:rPr>
              <w:t xml:space="preserve">, </w:t>
            </w:r>
            <w:proofErr w:type="spellStart"/>
            <w:r w:rsidRPr="00C97CF8">
              <w:rPr>
                <w:rFonts w:ascii="Arial" w:hAnsi="Arial" w:cs="Arial"/>
                <w:iCs/>
                <w:sz w:val="32"/>
                <w:szCs w:val="32"/>
              </w:rPr>
              <w:t>Mintah</w:t>
            </w:r>
            <w:proofErr w:type="spellEnd"/>
            <w:r w:rsidRPr="00C97CF8">
              <w:rPr>
                <w:rFonts w:ascii="Arial" w:hAnsi="Arial" w:cs="Arial"/>
                <w:iCs/>
                <w:sz w:val="32"/>
                <w:szCs w:val="32"/>
              </w:rPr>
              <w:t xml:space="preserve"> Collins, </w:t>
            </w:r>
            <w:proofErr w:type="spellStart"/>
            <w:r w:rsidRPr="00C97CF8">
              <w:rPr>
                <w:rFonts w:ascii="Arial" w:hAnsi="Arial" w:cs="Arial"/>
                <w:iCs/>
                <w:sz w:val="32"/>
                <w:szCs w:val="32"/>
              </w:rPr>
              <w:t>Gyamfuah</w:t>
            </w:r>
            <w:proofErr w:type="spellEnd"/>
            <w:r w:rsidRPr="00C97CF8">
              <w:rPr>
                <w:rFonts w:ascii="Arial" w:hAnsi="Arial" w:cs="Arial"/>
                <w:iCs/>
                <w:sz w:val="32"/>
                <w:szCs w:val="32"/>
              </w:rPr>
              <w:t xml:space="preserve"> </w:t>
            </w:r>
            <w:proofErr w:type="spellStart"/>
            <w:r w:rsidRPr="00C97CF8">
              <w:rPr>
                <w:rFonts w:ascii="Arial" w:hAnsi="Arial" w:cs="Arial"/>
                <w:iCs/>
                <w:sz w:val="32"/>
                <w:szCs w:val="32"/>
              </w:rPr>
              <w:t>Yaa</w:t>
            </w:r>
            <w:proofErr w:type="spellEnd"/>
            <w:r w:rsidRPr="00C97CF8">
              <w:rPr>
                <w:rFonts w:ascii="Arial" w:hAnsi="Arial" w:cs="Arial"/>
                <w:iCs/>
                <w:sz w:val="32"/>
                <w:szCs w:val="32"/>
              </w:rPr>
              <w:t>, Ofori Daniel</w:t>
            </w:r>
          </w:p>
          <w:p w14:paraId="728F7803" w14:textId="600AD88E" w:rsidR="00BD55F4" w:rsidRPr="005016DE" w:rsidRDefault="00BD55F4" w:rsidP="00BD55F4">
            <w:pPr>
              <w:contextualSpacing/>
              <w:rPr>
                <w:rFonts w:ascii="Arial" w:hAnsi="Arial" w:cs="Arial"/>
                <w:sz w:val="2"/>
                <w:szCs w:val="2"/>
              </w:rPr>
            </w:pPr>
          </w:p>
        </w:tc>
      </w:tr>
      <w:tr w:rsidR="003833A3" w:rsidRPr="003833A3" w14:paraId="79B52C6F" w14:textId="77777777" w:rsidTr="009D00BD">
        <w:trPr>
          <w:trHeight w:val="375"/>
        </w:trPr>
        <w:tc>
          <w:tcPr>
            <w:tcW w:w="10975" w:type="dxa"/>
          </w:tcPr>
          <w:p w14:paraId="004868B6" w14:textId="7EF4B54B" w:rsidR="003833A3" w:rsidRDefault="003833A3" w:rsidP="003833A3">
            <w:pPr>
              <w:contextualSpacing/>
            </w:pPr>
            <w:r w:rsidRPr="00903B86">
              <w:rPr>
                <w:rFonts w:cs="Arial"/>
                <w:b/>
                <w:sz w:val="24"/>
              </w:rPr>
              <w:t xml:space="preserve">To </w:t>
            </w:r>
            <w:r w:rsidR="00903B86" w:rsidRPr="00903B86">
              <w:rPr>
                <w:rFonts w:cs="Arial"/>
                <w:b/>
                <w:sz w:val="24"/>
              </w:rPr>
              <w:t xml:space="preserve">Link </w:t>
            </w:r>
            <w:r w:rsidRPr="00903B86">
              <w:rPr>
                <w:rFonts w:cs="Arial"/>
                <w:b/>
                <w:sz w:val="24"/>
              </w:rPr>
              <w:t xml:space="preserve">this Article: </w:t>
            </w:r>
            <w:r w:rsidR="003C2D3E" w:rsidRPr="003C2D3E">
              <w:rPr>
                <w:sz w:val="24"/>
                <w:szCs w:val="24"/>
              </w:rPr>
              <w:t>http://dx.doi.org/10.6007/IJAR</w:t>
            </w:r>
            <w:r w:rsidR="006312EA">
              <w:rPr>
                <w:sz w:val="24"/>
                <w:szCs w:val="24"/>
              </w:rPr>
              <w:t>AFM</w:t>
            </w:r>
            <w:r w:rsidR="003C2D3E" w:rsidRPr="003C2D3E">
              <w:rPr>
                <w:sz w:val="24"/>
                <w:szCs w:val="24"/>
              </w:rPr>
              <w:t>S/v</w:t>
            </w:r>
            <w:r w:rsidR="00896FA7">
              <w:rPr>
                <w:sz w:val="24"/>
                <w:szCs w:val="24"/>
              </w:rPr>
              <w:t>4</w:t>
            </w:r>
            <w:r w:rsidR="003C2D3E" w:rsidRPr="003C2D3E">
              <w:rPr>
                <w:sz w:val="24"/>
                <w:szCs w:val="24"/>
              </w:rPr>
              <w:t>-i</w:t>
            </w:r>
            <w:r w:rsidR="00896FA7">
              <w:rPr>
                <w:sz w:val="24"/>
                <w:szCs w:val="24"/>
              </w:rPr>
              <w:t>1</w:t>
            </w:r>
            <w:r w:rsidR="00042752">
              <w:rPr>
                <w:sz w:val="24"/>
                <w:szCs w:val="24"/>
              </w:rPr>
              <w:t>/</w:t>
            </w:r>
            <w:r w:rsidR="009D00BD">
              <w:rPr>
                <w:sz w:val="24"/>
                <w:szCs w:val="24"/>
              </w:rPr>
              <w:t>543</w:t>
            </w:r>
            <w:r w:rsidR="003C2D3E">
              <w:rPr>
                <w:sz w:val="24"/>
                <w:szCs w:val="24"/>
              </w:rPr>
              <w:t xml:space="preserve">        </w:t>
            </w:r>
            <w:r w:rsidR="00FE6A46">
              <w:rPr>
                <w:sz w:val="24"/>
                <w:szCs w:val="24"/>
              </w:rPr>
              <w:t xml:space="preserve">   </w:t>
            </w:r>
            <w:r w:rsidR="003C2D3E">
              <w:rPr>
                <w:sz w:val="24"/>
                <w:szCs w:val="24"/>
              </w:rPr>
              <w:t xml:space="preserve">  </w:t>
            </w:r>
            <w:r w:rsidR="009D00BD">
              <w:rPr>
                <w:sz w:val="24"/>
                <w:szCs w:val="24"/>
              </w:rPr>
              <w:t xml:space="preserve"> </w:t>
            </w:r>
            <w:r w:rsidR="003F688B">
              <w:rPr>
                <w:sz w:val="24"/>
                <w:szCs w:val="24"/>
              </w:rPr>
              <w:t>DOI:</w:t>
            </w:r>
            <w:r w:rsidR="003C2D3E" w:rsidRPr="007411B9">
              <w:rPr>
                <w:sz w:val="24"/>
                <w:szCs w:val="24"/>
              </w:rPr>
              <w:t>10.6007/</w:t>
            </w:r>
            <w:r w:rsidR="006312EA" w:rsidRPr="003C2D3E">
              <w:rPr>
                <w:sz w:val="24"/>
                <w:szCs w:val="24"/>
              </w:rPr>
              <w:t>IJAR</w:t>
            </w:r>
            <w:r w:rsidR="006312EA">
              <w:rPr>
                <w:sz w:val="24"/>
                <w:szCs w:val="24"/>
              </w:rPr>
              <w:t>AFM</w:t>
            </w:r>
            <w:r w:rsidR="006312EA" w:rsidRPr="003C2D3E">
              <w:rPr>
                <w:sz w:val="24"/>
                <w:szCs w:val="24"/>
              </w:rPr>
              <w:t>S</w:t>
            </w:r>
            <w:r w:rsidR="006312EA" w:rsidRPr="007411B9">
              <w:rPr>
                <w:sz w:val="24"/>
                <w:szCs w:val="24"/>
              </w:rPr>
              <w:t xml:space="preserve"> </w:t>
            </w:r>
            <w:r w:rsidR="003C2D3E" w:rsidRPr="007411B9">
              <w:rPr>
                <w:sz w:val="24"/>
                <w:szCs w:val="24"/>
              </w:rPr>
              <w:t>/v</w:t>
            </w:r>
            <w:r w:rsidR="00896FA7">
              <w:rPr>
                <w:sz w:val="24"/>
                <w:szCs w:val="24"/>
              </w:rPr>
              <w:t>4</w:t>
            </w:r>
            <w:r w:rsidR="003C2D3E" w:rsidRPr="007411B9">
              <w:rPr>
                <w:sz w:val="24"/>
                <w:szCs w:val="24"/>
              </w:rPr>
              <w:t>-i</w:t>
            </w:r>
            <w:r w:rsidR="00896FA7">
              <w:rPr>
                <w:sz w:val="24"/>
                <w:szCs w:val="24"/>
              </w:rPr>
              <w:t>1</w:t>
            </w:r>
            <w:r w:rsidR="003C2D3E" w:rsidRPr="007411B9">
              <w:rPr>
                <w:sz w:val="24"/>
                <w:szCs w:val="24"/>
              </w:rPr>
              <w:t>/</w:t>
            </w:r>
            <w:r w:rsidR="009D00BD">
              <w:rPr>
                <w:sz w:val="24"/>
                <w:szCs w:val="24"/>
              </w:rPr>
              <w:t>543</w:t>
            </w:r>
          </w:p>
          <w:p w14:paraId="54B68911" w14:textId="49594211" w:rsidR="003833A3" w:rsidRPr="003833A3" w:rsidRDefault="003833A3" w:rsidP="003833A3">
            <w:pPr>
              <w:rPr>
                <w:rFonts w:cs="Arial"/>
                <w:b/>
                <w:sz w:val="28"/>
              </w:rPr>
            </w:pPr>
          </w:p>
        </w:tc>
      </w:tr>
      <w:tr w:rsidR="003833A3" w:rsidRPr="003833A3" w14:paraId="234B0667" w14:textId="77777777" w:rsidTr="009D00BD">
        <w:trPr>
          <w:trHeight w:val="399"/>
        </w:trPr>
        <w:tc>
          <w:tcPr>
            <w:tcW w:w="10975" w:type="dxa"/>
          </w:tcPr>
          <w:p w14:paraId="68F11E34" w14:textId="0320F560" w:rsidR="001452AB" w:rsidRDefault="00A92C98" w:rsidP="001452AB">
            <w:pPr>
              <w:rPr>
                <w:rFonts w:cs="Arial"/>
                <w:sz w:val="24"/>
              </w:rPr>
            </w:pPr>
            <w:r>
              <w:rPr>
                <w:rFonts w:cs="Arial"/>
                <w:b/>
                <w:i/>
                <w:sz w:val="24"/>
              </w:rPr>
              <w:t xml:space="preserve">Received: </w:t>
            </w:r>
            <w:r w:rsidR="00896FA7" w:rsidRPr="00A376FD">
              <w:rPr>
                <w:rFonts w:cs="Arial"/>
                <w:bCs/>
                <w:i/>
                <w:sz w:val="24"/>
              </w:rPr>
              <w:t>1</w:t>
            </w:r>
            <w:r w:rsidR="009D00BD">
              <w:rPr>
                <w:rFonts w:cs="Arial"/>
                <w:bCs/>
                <w:i/>
                <w:sz w:val="24"/>
              </w:rPr>
              <w:t>9</w:t>
            </w:r>
            <w:r w:rsidR="00896FA7">
              <w:rPr>
                <w:rFonts w:cs="Arial"/>
                <w:bCs/>
                <w:sz w:val="24"/>
              </w:rPr>
              <w:t xml:space="preserve"> January</w:t>
            </w:r>
            <w:r w:rsidR="00896FA7" w:rsidRPr="00903B86">
              <w:rPr>
                <w:rFonts w:cs="Arial"/>
                <w:i/>
                <w:sz w:val="24"/>
              </w:rPr>
              <w:t xml:space="preserve"> </w:t>
            </w:r>
            <w:r w:rsidR="00896FA7">
              <w:rPr>
                <w:rFonts w:cs="Arial"/>
                <w:i/>
                <w:sz w:val="24"/>
              </w:rPr>
              <w:t>2014</w:t>
            </w:r>
            <w:r w:rsidR="001452AB" w:rsidRPr="00903B86">
              <w:rPr>
                <w:rFonts w:cs="Arial"/>
                <w:i/>
                <w:sz w:val="24"/>
              </w:rPr>
              <w:t xml:space="preserve">, </w:t>
            </w:r>
            <w:proofErr w:type="gramStart"/>
            <w:r w:rsidR="001452AB" w:rsidRPr="00903B86">
              <w:rPr>
                <w:rFonts w:cs="Arial"/>
                <w:b/>
                <w:i/>
                <w:sz w:val="24"/>
              </w:rPr>
              <w:t>Revised</w:t>
            </w:r>
            <w:proofErr w:type="gramEnd"/>
            <w:r w:rsidR="001452AB" w:rsidRPr="00903B86">
              <w:rPr>
                <w:rFonts w:cs="Arial"/>
                <w:b/>
                <w:i/>
                <w:sz w:val="24"/>
              </w:rPr>
              <w:t xml:space="preserve">: </w:t>
            </w:r>
            <w:r w:rsidR="009D00BD">
              <w:rPr>
                <w:rFonts w:cs="Arial"/>
                <w:bCs/>
                <w:i/>
                <w:sz w:val="24"/>
              </w:rPr>
              <w:t>2</w:t>
            </w:r>
            <w:r w:rsidR="00896FA7">
              <w:rPr>
                <w:rFonts w:cs="Arial"/>
                <w:bCs/>
                <w:i/>
                <w:sz w:val="24"/>
              </w:rPr>
              <w:t>1</w:t>
            </w:r>
            <w:r w:rsidR="00896FA7">
              <w:rPr>
                <w:rFonts w:cs="Arial"/>
                <w:bCs/>
                <w:sz w:val="24"/>
              </w:rPr>
              <w:t xml:space="preserve"> </w:t>
            </w:r>
            <w:r w:rsidR="009D00BD">
              <w:rPr>
                <w:rFonts w:cs="Arial"/>
                <w:bCs/>
                <w:sz w:val="24"/>
              </w:rPr>
              <w:t xml:space="preserve">February </w:t>
            </w:r>
            <w:r w:rsidR="00896FA7">
              <w:rPr>
                <w:rFonts w:cs="Arial"/>
                <w:sz w:val="24"/>
              </w:rPr>
              <w:t>2014</w:t>
            </w:r>
            <w:r w:rsidR="001452AB" w:rsidRPr="00903B86">
              <w:rPr>
                <w:rFonts w:cs="Arial"/>
                <w:i/>
                <w:sz w:val="24"/>
              </w:rPr>
              <w:t xml:space="preserve">, </w:t>
            </w:r>
            <w:r w:rsidR="001452AB" w:rsidRPr="00903B86">
              <w:rPr>
                <w:rFonts w:cs="Arial"/>
                <w:b/>
                <w:i/>
                <w:sz w:val="24"/>
              </w:rPr>
              <w:t xml:space="preserve">Accepted: </w:t>
            </w:r>
            <w:r w:rsidR="009D00BD" w:rsidRPr="009D00BD">
              <w:rPr>
                <w:rFonts w:cs="Arial"/>
                <w:i/>
                <w:sz w:val="24"/>
              </w:rPr>
              <w:t>03</w:t>
            </w:r>
            <w:r w:rsidR="00896FA7">
              <w:rPr>
                <w:rFonts w:cs="Arial"/>
                <w:sz w:val="24"/>
              </w:rPr>
              <w:t xml:space="preserve"> </w:t>
            </w:r>
            <w:r w:rsidR="009D00BD">
              <w:rPr>
                <w:rFonts w:cs="Arial"/>
                <w:bCs/>
                <w:sz w:val="24"/>
              </w:rPr>
              <w:t xml:space="preserve">March </w:t>
            </w:r>
            <w:r w:rsidR="00896FA7">
              <w:rPr>
                <w:rFonts w:cs="Arial"/>
                <w:sz w:val="24"/>
              </w:rPr>
              <w:t>2014</w:t>
            </w:r>
          </w:p>
          <w:p w14:paraId="010B2304" w14:textId="37C057B2" w:rsidR="00C97CAD" w:rsidRPr="003833A3" w:rsidRDefault="00C97CAD" w:rsidP="001452AB">
            <w:pPr>
              <w:rPr>
                <w:rFonts w:cs="Arial"/>
                <w:sz w:val="28"/>
              </w:rPr>
            </w:pPr>
          </w:p>
        </w:tc>
      </w:tr>
      <w:tr w:rsidR="003833A3" w:rsidRPr="003833A3" w14:paraId="227EEB77" w14:textId="77777777" w:rsidTr="009D00BD">
        <w:trPr>
          <w:trHeight w:val="375"/>
        </w:trPr>
        <w:tc>
          <w:tcPr>
            <w:tcW w:w="10975" w:type="dxa"/>
          </w:tcPr>
          <w:p w14:paraId="228EE9E3" w14:textId="5E3858BF" w:rsidR="003833A3" w:rsidRPr="00903B86" w:rsidRDefault="003833A3" w:rsidP="003833A3">
            <w:pPr>
              <w:rPr>
                <w:rFonts w:cs="Arial"/>
                <w:sz w:val="24"/>
              </w:rPr>
            </w:pPr>
            <w:r w:rsidRPr="00903B86">
              <w:rPr>
                <w:rFonts w:cs="Arial"/>
                <w:b/>
                <w:sz w:val="24"/>
              </w:rPr>
              <w:t xml:space="preserve">Published Online: </w:t>
            </w:r>
            <w:r w:rsidR="00896FA7" w:rsidRPr="00A57747">
              <w:rPr>
                <w:rFonts w:cs="Arial"/>
                <w:bCs/>
                <w:sz w:val="24"/>
              </w:rPr>
              <w:t xml:space="preserve">16 </w:t>
            </w:r>
            <w:r w:rsidR="00896FA7">
              <w:rPr>
                <w:rFonts w:cs="Arial"/>
                <w:bCs/>
                <w:sz w:val="24"/>
              </w:rPr>
              <w:t xml:space="preserve">March </w:t>
            </w:r>
            <w:r w:rsidR="00896FA7">
              <w:rPr>
                <w:rFonts w:cs="Arial"/>
                <w:sz w:val="24"/>
              </w:rPr>
              <w:t>2014</w:t>
            </w:r>
          </w:p>
          <w:p w14:paraId="161AF03C" w14:textId="6AAA4E68" w:rsidR="003833A3" w:rsidRPr="003833A3" w:rsidRDefault="003833A3" w:rsidP="003833A3">
            <w:pPr>
              <w:rPr>
                <w:rFonts w:cs="Arial"/>
                <w:b/>
                <w:sz w:val="28"/>
              </w:rPr>
            </w:pPr>
          </w:p>
        </w:tc>
      </w:tr>
      <w:tr w:rsidR="00723E0F" w:rsidRPr="003833A3" w14:paraId="6506A29B" w14:textId="77777777" w:rsidTr="009D00BD">
        <w:trPr>
          <w:trHeight w:val="375"/>
        </w:trPr>
        <w:tc>
          <w:tcPr>
            <w:tcW w:w="10975" w:type="dxa"/>
          </w:tcPr>
          <w:p w14:paraId="7B0DEB82" w14:textId="54157B20" w:rsidR="00EE018E" w:rsidRPr="006D5D6C" w:rsidRDefault="003115A9" w:rsidP="00EE018E">
            <w:pPr>
              <w:rPr>
                <w:bCs/>
                <w:sz w:val="24"/>
              </w:rPr>
            </w:pPr>
            <w:r w:rsidRPr="00903B86">
              <w:rPr>
                <w:b/>
                <w:sz w:val="24"/>
              </w:rPr>
              <w:t>In-Text Citation:</w:t>
            </w:r>
            <w:r w:rsidR="00866385">
              <w:rPr>
                <w:b/>
                <w:sz w:val="24"/>
              </w:rPr>
              <w:t xml:space="preserve"> </w:t>
            </w:r>
            <w:r w:rsidR="00E9064D" w:rsidRPr="00E9064D">
              <w:rPr>
                <w:bCs/>
                <w:sz w:val="24"/>
              </w:rPr>
              <w:t>(</w:t>
            </w:r>
            <w:r w:rsidR="00E9064D" w:rsidRPr="00E9064D">
              <w:rPr>
                <w:rFonts w:cstheme="minorHAnsi"/>
                <w:iCs/>
                <w:sz w:val="24"/>
                <w:szCs w:val="24"/>
              </w:rPr>
              <w:t>Owusu</w:t>
            </w:r>
            <w:r w:rsidR="00E9064D">
              <w:rPr>
                <w:rFonts w:cstheme="minorHAnsi"/>
                <w:iCs/>
                <w:sz w:val="24"/>
                <w:szCs w:val="24"/>
              </w:rPr>
              <w:t xml:space="preserve"> et al., 2022)</w:t>
            </w:r>
          </w:p>
          <w:p w14:paraId="267233D1" w14:textId="22470F2A" w:rsidR="00DB7500" w:rsidRPr="00E9064D" w:rsidRDefault="00EE018E" w:rsidP="00E9064D">
            <w:pPr>
              <w:pStyle w:val="Normal1"/>
              <w:ind w:left="321" w:right="40" w:hanging="321"/>
              <w:rPr>
                <w:rFonts w:asciiTheme="minorHAnsi" w:hAnsiTheme="minorHAnsi" w:cstheme="minorHAnsi"/>
                <w:sz w:val="24"/>
                <w:szCs w:val="24"/>
              </w:rPr>
            </w:pPr>
            <w:r w:rsidRPr="00903B86">
              <w:rPr>
                <w:rFonts w:cs="Arial"/>
                <w:b/>
                <w:sz w:val="24"/>
              </w:rPr>
              <w:t>To Cite this Article</w:t>
            </w:r>
            <w:r w:rsidR="00836755">
              <w:rPr>
                <w:rFonts w:cs="Arial"/>
                <w:b/>
                <w:sz w:val="24"/>
              </w:rPr>
              <w:t>:</w:t>
            </w:r>
            <w:r w:rsidR="00A376FD">
              <w:rPr>
                <w:rFonts w:cs="Arial"/>
                <w:b/>
                <w:sz w:val="24"/>
              </w:rPr>
              <w:t xml:space="preserve"> </w:t>
            </w:r>
            <w:r w:rsidR="00E9064D" w:rsidRPr="00E9064D">
              <w:rPr>
                <w:rFonts w:asciiTheme="minorHAnsi" w:hAnsiTheme="minorHAnsi" w:cstheme="minorHAnsi"/>
                <w:iCs/>
                <w:sz w:val="24"/>
                <w:szCs w:val="24"/>
              </w:rPr>
              <w:t>Owusu, E</w:t>
            </w:r>
            <w:r w:rsidR="00E9064D">
              <w:rPr>
                <w:rFonts w:asciiTheme="minorHAnsi" w:hAnsiTheme="minorHAnsi" w:cstheme="minorHAnsi"/>
                <w:iCs/>
                <w:sz w:val="24"/>
                <w:szCs w:val="24"/>
              </w:rPr>
              <w:t>.</w:t>
            </w:r>
            <w:r w:rsidR="00E9064D" w:rsidRPr="00E9064D">
              <w:rPr>
                <w:rFonts w:asciiTheme="minorHAnsi" w:hAnsiTheme="minorHAnsi" w:cstheme="minorHAnsi"/>
                <w:iCs/>
                <w:sz w:val="24"/>
                <w:szCs w:val="24"/>
              </w:rPr>
              <w:t xml:space="preserve"> E</w:t>
            </w:r>
            <w:r w:rsidR="00E9064D">
              <w:rPr>
                <w:rFonts w:asciiTheme="minorHAnsi" w:hAnsiTheme="minorHAnsi" w:cstheme="minorHAnsi"/>
                <w:iCs/>
                <w:sz w:val="24"/>
                <w:szCs w:val="24"/>
              </w:rPr>
              <w:t>.,</w:t>
            </w:r>
            <w:r w:rsidR="00E9064D" w:rsidRPr="00E9064D">
              <w:rPr>
                <w:rFonts w:asciiTheme="minorHAnsi" w:hAnsiTheme="minorHAnsi" w:cstheme="minorHAnsi"/>
                <w:iCs/>
                <w:sz w:val="24"/>
                <w:szCs w:val="24"/>
              </w:rPr>
              <w:t xml:space="preserve"> </w:t>
            </w:r>
            <w:proofErr w:type="spellStart"/>
            <w:r w:rsidR="00E9064D" w:rsidRPr="00E9064D">
              <w:rPr>
                <w:rFonts w:asciiTheme="minorHAnsi" w:hAnsiTheme="minorHAnsi" w:cstheme="minorHAnsi"/>
                <w:iCs/>
                <w:sz w:val="24"/>
                <w:szCs w:val="24"/>
              </w:rPr>
              <w:t>Dwomoh</w:t>
            </w:r>
            <w:proofErr w:type="spellEnd"/>
            <w:r w:rsidR="00E9064D" w:rsidRPr="00E9064D">
              <w:rPr>
                <w:rFonts w:asciiTheme="minorHAnsi" w:hAnsiTheme="minorHAnsi" w:cstheme="minorHAnsi"/>
                <w:iCs/>
                <w:sz w:val="24"/>
                <w:szCs w:val="24"/>
              </w:rPr>
              <w:t xml:space="preserve">, </w:t>
            </w:r>
            <w:r w:rsidR="00E9064D">
              <w:rPr>
                <w:rFonts w:asciiTheme="minorHAnsi" w:hAnsiTheme="minorHAnsi" w:cstheme="minorHAnsi"/>
                <w:iCs/>
                <w:sz w:val="24"/>
                <w:szCs w:val="24"/>
              </w:rPr>
              <w:t xml:space="preserve">G., </w:t>
            </w:r>
            <w:r w:rsidR="00E9064D" w:rsidRPr="00E9064D">
              <w:rPr>
                <w:rFonts w:asciiTheme="minorHAnsi" w:hAnsiTheme="minorHAnsi" w:cstheme="minorHAnsi"/>
                <w:iCs/>
                <w:sz w:val="24"/>
                <w:szCs w:val="24"/>
              </w:rPr>
              <w:t xml:space="preserve">Collins, </w:t>
            </w:r>
            <w:r w:rsidR="00E9064D">
              <w:rPr>
                <w:rFonts w:asciiTheme="minorHAnsi" w:hAnsiTheme="minorHAnsi" w:cstheme="minorHAnsi"/>
                <w:iCs/>
                <w:sz w:val="24"/>
                <w:szCs w:val="24"/>
              </w:rPr>
              <w:t xml:space="preserve">M., </w:t>
            </w:r>
            <w:proofErr w:type="spellStart"/>
            <w:r w:rsidR="00E9064D" w:rsidRPr="00E9064D">
              <w:rPr>
                <w:rFonts w:asciiTheme="minorHAnsi" w:hAnsiTheme="minorHAnsi" w:cstheme="minorHAnsi"/>
                <w:iCs/>
                <w:sz w:val="24"/>
                <w:szCs w:val="24"/>
              </w:rPr>
              <w:t>Yaa</w:t>
            </w:r>
            <w:proofErr w:type="spellEnd"/>
            <w:r w:rsidR="00E9064D" w:rsidRPr="00E9064D">
              <w:rPr>
                <w:rFonts w:asciiTheme="minorHAnsi" w:hAnsiTheme="minorHAnsi" w:cstheme="minorHAnsi"/>
                <w:iCs/>
                <w:sz w:val="24"/>
                <w:szCs w:val="24"/>
              </w:rPr>
              <w:t xml:space="preserve">, </w:t>
            </w:r>
            <w:r w:rsidR="00E9064D">
              <w:rPr>
                <w:rFonts w:asciiTheme="minorHAnsi" w:hAnsiTheme="minorHAnsi" w:cstheme="minorHAnsi"/>
                <w:iCs/>
                <w:sz w:val="24"/>
                <w:szCs w:val="24"/>
              </w:rPr>
              <w:t xml:space="preserve">G., &amp; </w:t>
            </w:r>
            <w:r w:rsidR="00E9064D" w:rsidRPr="00E9064D">
              <w:rPr>
                <w:rFonts w:asciiTheme="minorHAnsi" w:hAnsiTheme="minorHAnsi" w:cstheme="minorHAnsi"/>
                <w:iCs/>
                <w:sz w:val="24"/>
                <w:szCs w:val="24"/>
              </w:rPr>
              <w:t>Daniel</w:t>
            </w:r>
            <w:r w:rsidR="00E9064D">
              <w:rPr>
                <w:rFonts w:asciiTheme="minorHAnsi" w:hAnsiTheme="minorHAnsi" w:cstheme="minorHAnsi"/>
                <w:iCs/>
                <w:sz w:val="24"/>
                <w:szCs w:val="24"/>
              </w:rPr>
              <w:t>, O</w:t>
            </w:r>
            <w:r w:rsidR="00E9064D" w:rsidRPr="00E9064D">
              <w:rPr>
                <w:rFonts w:asciiTheme="minorHAnsi" w:hAnsiTheme="minorHAnsi" w:cstheme="minorHAnsi"/>
                <w:iCs/>
                <w:sz w:val="24"/>
                <w:szCs w:val="24"/>
              </w:rPr>
              <w:t xml:space="preserve">. (2022). </w:t>
            </w:r>
            <w:r w:rsidR="00E9064D" w:rsidRPr="00E9064D">
              <w:rPr>
                <w:rFonts w:asciiTheme="minorHAnsi" w:hAnsiTheme="minorHAnsi" w:cstheme="minorHAnsi"/>
                <w:sz w:val="24"/>
                <w:szCs w:val="24"/>
                <w:lang w:val="en-GB"/>
              </w:rPr>
              <w:t xml:space="preserve">Assessing the Relationship between Budget Participation and Employees’ Performance of Public Universities in Ghana: </w:t>
            </w:r>
            <w:r w:rsidR="006266B8">
              <w:rPr>
                <w:rFonts w:asciiTheme="minorHAnsi" w:hAnsiTheme="minorHAnsi" w:cstheme="minorHAnsi"/>
                <w:sz w:val="24"/>
                <w:szCs w:val="24"/>
                <w:lang w:val="en-GB"/>
              </w:rPr>
              <w:t>A</w:t>
            </w:r>
            <w:r w:rsidR="00E9064D" w:rsidRPr="00E9064D">
              <w:rPr>
                <w:rFonts w:asciiTheme="minorHAnsi" w:hAnsiTheme="minorHAnsi" w:cstheme="minorHAnsi"/>
                <w:sz w:val="24"/>
                <w:szCs w:val="24"/>
                <w:lang w:val="en-GB"/>
              </w:rPr>
              <w:t xml:space="preserve"> Case of University of Education. </w:t>
            </w:r>
            <w:r w:rsidR="00E9064D" w:rsidRPr="00E9064D">
              <w:rPr>
                <w:i/>
                <w:iCs/>
              </w:rPr>
              <w:t xml:space="preserve">International Journal of Academic Research in Accounting Finance and Management Sciences. </w:t>
            </w:r>
            <w:r w:rsidR="00E9064D" w:rsidRPr="00E9064D">
              <w:rPr>
                <w:rFonts w:asciiTheme="minorHAnsi" w:hAnsiTheme="minorHAnsi" w:cstheme="minorHAnsi"/>
                <w:i/>
                <w:iCs/>
                <w:sz w:val="24"/>
                <w:szCs w:val="24"/>
                <w:lang w:val="en-GB"/>
              </w:rPr>
              <w:t>4(1),</w:t>
            </w:r>
            <w:r w:rsidR="00E9064D" w:rsidRPr="00E9064D">
              <w:rPr>
                <w:rFonts w:asciiTheme="minorHAnsi" w:hAnsiTheme="minorHAnsi" w:cstheme="minorHAnsi"/>
                <w:sz w:val="24"/>
                <w:szCs w:val="24"/>
                <w:lang w:val="en-GB"/>
              </w:rPr>
              <w:t xml:space="preserve"> </w:t>
            </w:r>
            <w:r w:rsidR="00E9064D" w:rsidRPr="00E9064D">
              <w:rPr>
                <w:rFonts w:asciiTheme="minorHAnsi" w:hAnsiTheme="minorHAnsi" w:cstheme="minorHAnsi"/>
                <w:sz w:val="24"/>
                <w:szCs w:val="24"/>
                <w:lang w:val="en-GB" w:eastAsia="pl-PL"/>
              </w:rPr>
              <w:t>121- 135.</w:t>
            </w:r>
          </w:p>
          <w:p w14:paraId="4AB8CBB6" w14:textId="77777777" w:rsidR="00DB7500" w:rsidRPr="00EE018E" w:rsidRDefault="00DB7500" w:rsidP="00DB7500">
            <w:pPr>
              <w:widowControl w:val="0"/>
              <w:autoSpaceDE w:val="0"/>
              <w:autoSpaceDN w:val="0"/>
              <w:adjustRightInd w:val="0"/>
              <w:ind w:left="480" w:hanging="480"/>
              <w:rPr>
                <w:rFonts w:cs="Arial"/>
                <w:b/>
                <w:sz w:val="6"/>
                <w:szCs w:val="4"/>
              </w:rPr>
            </w:pPr>
          </w:p>
          <w:p w14:paraId="740E5603" w14:textId="71DC9429" w:rsidR="00723E0F" w:rsidRPr="00EE018E" w:rsidRDefault="00723E0F" w:rsidP="008D1B92">
            <w:pPr>
              <w:pStyle w:val="Normal1"/>
              <w:ind w:left="345" w:right="40" w:hanging="345"/>
              <w:rPr>
                <w:rFonts w:cs="Arial"/>
                <w:b/>
                <w:sz w:val="6"/>
                <w:szCs w:val="4"/>
              </w:rPr>
            </w:pPr>
          </w:p>
        </w:tc>
      </w:tr>
      <w:tr w:rsidR="003833A3" w:rsidRPr="003833A3" w14:paraId="57E2ED9E" w14:textId="77777777" w:rsidTr="009D00BD">
        <w:trPr>
          <w:trHeight w:val="375"/>
        </w:trPr>
        <w:tc>
          <w:tcPr>
            <w:tcW w:w="10975" w:type="dxa"/>
          </w:tcPr>
          <w:p w14:paraId="1E665BF8" w14:textId="611458E8" w:rsidR="003833A3" w:rsidRPr="003833A3" w:rsidRDefault="003833A3" w:rsidP="003833A3">
            <w:pPr>
              <w:rPr>
                <w:rFonts w:cs="Arial"/>
                <w:b/>
                <w:sz w:val="28"/>
              </w:rPr>
            </w:pPr>
            <w:r>
              <w:rPr>
                <w:rFonts w:cs="Arial"/>
                <w:b/>
                <w:sz w:val="28"/>
              </w:rPr>
              <w:t>Copyright:</w:t>
            </w:r>
            <w:r>
              <w:rPr>
                <w:rFonts w:ascii="Arial" w:hAnsi="Arial" w:cs="Arial"/>
                <w:color w:val="515151"/>
                <w:spacing w:val="5"/>
                <w:shd w:val="clear" w:color="auto" w:fill="FFFFFF"/>
              </w:rPr>
              <w:t xml:space="preserve"> © </w:t>
            </w:r>
            <w:r w:rsidR="00896FA7">
              <w:rPr>
                <w:rFonts w:ascii="Arial" w:hAnsi="Arial" w:cs="Arial"/>
                <w:color w:val="515151"/>
                <w:spacing w:val="5"/>
                <w:shd w:val="clear" w:color="auto" w:fill="FFFFFF"/>
              </w:rPr>
              <w:t>2014</w:t>
            </w:r>
            <w:r w:rsidR="006F5E43">
              <w:rPr>
                <w:rFonts w:ascii="Arial" w:hAnsi="Arial" w:cs="Arial"/>
                <w:color w:val="515151"/>
                <w:spacing w:val="5"/>
                <w:shd w:val="clear" w:color="auto" w:fill="FFFFFF"/>
              </w:rPr>
              <w:t xml:space="preserve"> </w:t>
            </w:r>
            <w:r w:rsidR="0011697D">
              <w:rPr>
                <w:rFonts w:ascii="Arial" w:hAnsi="Arial" w:cs="Arial"/>
                <w:color w:val="515151"/>
                <w:spacing w:val="5"/>
                <w:shd w:val="clear" w:color="auto" w:fill="FFFFFF"/>
              </w:rPr>
              <w:t>The Author</w:t>
            </w:r>
            <w:r w:rsidR="006F5E43">
              <w:rPr>
                <w:rFonts w:ascii="Arial" w:hAnsi="Arial" w:cs="Arial"/>
                <w:color w:val="515151"/>
                <w:spacing w:val="5"/>
                <w:shd w:val="clear" w:color="auto" w:fill="FFFFFF"/>
              </w:rPr>
              <w:t>(</w:t>
            </w:r>
            <w:r w:rsidR="0011697D">
              <w:rPr>
                <w:rFonts w:ascii="Arial" w:hAnsi="Arial" w:cs="Arial"/>
                <w:color w:val="515151"/>
                <w:spacing w:val="5"/>
                <w:shd w:val="clear" w:color="auto" w:fill="FFFFFF"/>
              </w:rPr>
              <w:t>s</w:t>
            </w:r>
            <w:r w:rsidR="006F5E43">
              <w:rPr>
                <w:rFonts w:ascii="Arial" w:hAnsi="Arial" w:cs="Arial"/>
                <w:color w:val="515151"/>
                <w:spacing w:val="5"/>
                <w:shd w:val="clear" w:color="auto" w:fill="FFFFFF"/>
              </w:rPr>
              <w:t>)</w:t>
            </w:r>
            <w:r>
              <w:rPr>
                <w:rFonts w:ascii="Arial" w:hAnsi="Arial" w:cs="Arial"/>
                <w:color w:val="515151"/>
                <w:spacing w:val="5"/>
                <w:shd w:val="clear" w:color="auto" w:fill="FFFFFF"/>
              </w:rPr>
              <w:t xml:space="preserve"> </w:t>
            </w:r>
            <w:r>
              <w:rPr>
                <w:rFonts w:ascii="Arial" w:hAnsi="Arial" w:cs="Arial"/>
                <w:color w:val="515151"/>
                <w:spacing w:val="5"/>
              </w:rPr>
              <w:br/>
            </w:r>
            <w:r w:rsidRPr="00722A89">
              <w:rPr>
                <w:rFonts w:ascii="Arial" w:hAnsi="Arial" w:cs="Arial"/>
                <w:color w:val="4472C4" w:themeColor="accent1"/>
                <w:spacing w:val="5"/>
                <w:shd w:val="clear" w:color="auto" w:fill="FFFFFF"/>
              </w:rPr>
              <w:t>Published by Human Resource Management Academic Research Society (www.hrmars.com)</w:t>
            </w:r>
            <w:r>
              <w:rPr>
                <w:rFonts w:ascii="Arial" w:hAnsi="Arial" w:cs="Arial"/>
                <w:color w:val="515151"/>
                <w:spacing w:val="5"/>
              </w:rPr>
              <w:br/>
            </w:r>
            <w:r>
              <w:t>This article is published under the Creative Commons Attribution (CC BY 4.0) license. Anyone may reproduce, distribute, translate and create derivative works of this article (for both commercial and non-commercial purposes), subject to full attribution to the original publication and authors. The full terms of this license may be seen at: </w:t>
            </w:r>
            <w:hyperlink r:id="rId9" w:tgtFrame="_blank" w:tooltip="External link, opens new window" w:history="1">
              <w:r>
                <w:rPr>
                  <w:rStyle w:val="Hyperlink"/>
                  <w:color w:val="00545B"/>
                </w:rPr>
                <w:t>http://creativecommons.org/licences/by/4.0/legalcode</w:t>
              </w:r>
            </w:hyperlink>
          </w:p>
        </w:tc>
      </w:tr>
    </w:tbl>
    <w:p w14:paraId="616DD7A9" w14:textId="59DC21CD" w:rsidR="00317C65" w:rsidRDefault="00317C65" w:rsidP="00317C65">
      <w:pPr>
        <w:ind w:firstLine="720"/>
      </w:pPr>
    </w:p>
    <w:p w14:paraId="3F9129A1" w14:textId="39A5EC80" w:rsidR="00317C65" w:rsidRPr="00CA28F2" w:rsidRDefault="00317C65" w:rsidP="00317C65">
      <w:pPr>
        <w:ind w:firstLine="720"/>
        <w:rPr>
          <w:sz w:val="14"/>
        </w:rPr>
      </w:pPr>
    </w:p>
    <w:tbl>
      <w:tblPr>
        <w:tblStyle w:val="TableGrid"/>
        <w:tblpPr w:leftFromText="180" w:rightFromText="180" w:vertAnchor="text" w:horzAnchor="margin" w:tblpXSpec="center" w:tblpY="260"/>
        <w:tblW w:w="10830" w:type="dxa"/>
        <w:tblBorders>
          <w:top w:val="double" w:sz="4" w:space="0" w:color="4472C4" w:themeColor="accent1"/>
          <w:left w:val="double" w:sz="4" w:space="0" w:color="4472C4" w:themeColor="accent1"/>
          <w:bottom w:val="double" w:sz="4" w:space="0" w:color="4472C4" w:themeColor="accent1"/>
          <w:right w:val="double" w:sz="4" w:space="0" w:color="4472C4" w:themeColor="accent1"/>
        </w:tblBorders>
        <w:tblLook w:val="04A0" w:firstRow="1" w:lastRow="0" w:firstColumn="1" w:lastColumn="0" w:noHBand="0" w:noVBand="1"/>
      </w:tblPr>
      <w:tblGrid>
        <w:gridCol w:w="8229"/>
        <w:gridCol w:w="2601"/>
      </w:tblGrid>
      <w:tr w:rsidR="00733BFC" w14:paraId="13FDA604" w14:textId="77777777" w:rsidTr="00733BFC">
        <w:trPr>
          <w:trHeight w:val="463"/>
        </w:trPr>
        <w:tc>
          <w:tcPr>
            <w:tcW w:w="10830" w:type="dxa"/>
            <w:gridSpan w:val="2"/>
            <w:vAlign w:val="center"/>
          </w:tcPr>
          <w:p w14:paraId="4B86F8A5" w14:textId="4F3BED8F" w:rsidR="00733BFC" w:rsidRDefault="00733BFC" w:rsidP="00406A0A">
            <w:pPr>
              <w:contextualSpacing/>
              <w:jc w:val="center"/>
            </w:pPr>
            <w:r w:rsidRPr="00733BFC">
              <w:rPr>
                <w:b/>
                <w:bCs/>
                <w:spacing w:val="-18"/>
                <w:sz w:val="28"/>
                <w:szCs w:val="16"/>
                <w:lang w:val="en-GB" w:eastAsia="pl-PL"/>
              </w:rPr>
              <w:t>V</w:t>
            </w:r>
            <w:r w:rsidRPr="00733BFC">
              <w:rPr>
                <w:b/>
                <w:bCs/>
                <w:sz w:val="28"/>
                <w:szCs w:val="16"/>
                <w:lang w:val="en-GB" w:eastAsia="pl-PL"/>
              </w:rPr>
              <w:t>ol.</w:t>
            </w:r>
            <w:r w:rsidRPr="00733BFC">
              <w:rPr>
                <w:b/>
                <w:bCs/>
                <w:spacing w:val="22"/>
                <w:sz w:val="28"/>
                <w:szCs w:val="16"/>
                <w:lang w:val="en-GB" w:eastAsia="pl-PL"/>
              </w:rPr>
              <w:t xml:space="preserve"> </w:t>
            </w:r>
            <w:r w:rsidR="00896FA7">
              <w:rPr>
                <w:b/>
                <w:bCs/>
                <w:spacing w:val="22"/>
                <w:sz w:val="28"/>
                <w:szCs w:val="16"/>
                <w:lang w:val="en-GB" w:eastAsia="pl-PL"/>
              </w:rPr>
              <w:t>4</w:t>
            </w:r>
            <w:r w:rsidRPr="00733BFC">
              <w:rPr>
                <w:b/>
                <w:bCs/>
                <w:sz w:val="28"/>
                <w:szCs w:val="16"/>
                <w:lang w:val="en-GB" w:eastAsia="pl-PL"/>
              </w:rPr>
              <w:t>,</w:t>
            </w:r>
            <w:r w:rsidRPr="00733BFC">
              <w:rPr>
                <w:b/>
                <w:bCs/>
                <w:spacing w:val="11"/>
                <w:sz w:val="28"/>
                <w:szCs w:val="16"/>
                <w:lang w:val="en-GB" w:eastAsia="pl-PL"/>
              </w:rPr>
              <w:t xml:space="preserve"> </w:t>
            </w:r>
            <w:r w:rsidRPr="00733BFC">
              <w:rPr>
                <w:b/>
                <w:bCs/>
                <w:sz w:val="28"/>
                <w:szCs w:val="16"/>
                <w:lang w:val="en-GB" w:eastAsia="pl-PL"/>
              </w:rPr>
              <w:t>No.</w:t>
            </w:r>
            <w:r w:rsidR="00C04CF8">
              <w:rPr>
                <w:b/>
                <w:bCs/>
                <w:sz w:val="28"/>
                <w:szCs w:val="16"/>
                <w:lang w:val="en-GB" w:eastAsia="pl-PL"/>
              </w:rPr>
              <w:t xml:space="preserve"> </w:t>
            </w:r>
            <w:r w:rsidR="00896FA7">
              <w:rPr>
                <w:b/>
                <w:bCs/>
                <w:sz w:val="28"/>
                <w:szCs w:val="16"/>
                <w:lang w:val="en-GB" w:eastAsia="pl-PL"/>
              </w:rPr>
              <w:t>1</w:t>
            </w:r>
            <w:r w:rsidRPr="00733BFC">
              <w:rPr>
                <w:b/>
                <w:bCs/>
                <w:sz w:val="28"/>
                <w:szCs w:val="16"/>
                <w:lang w:val="en-GB" w:eastAsia="pl-PL"/>
              </w:rPr>
              <w:t xml:space="preserve">, </w:t>
            </w:r>
            <w:r w:rsidR="00896FA7">
              <w:rPr>
                <w:b/>
                <w:bCs/>
                <w:sz w:val="28"/>
                <w:szCs w:val="16"/>
                <w:lang w:val="en-GB" w:eastAsia="pl-PL"/>
              </w:rPr>
              <w:t>2014</w:t>
            </w:r>
            <w:r w:rsidRPr="00733BFC">
              <w:rPr>
                <w:b/>
                <w:bCs/>
                <w:sz w:val="28"/>
                <w:szCs w:val="16"/>
                <w:lang w:val="en-GB" w:eastAsia="pl-PL"/>
              </w:rPr>
              <w:t>,</w:t>
            </w:r>
            <w:r w:rsidRPr="00733BFC">
              <w:rPr>
                <w:b/>
                <w:bCs/>
                <w:spacing w:val="8"/>
                <w:sz w:val="28"/>
                <w:szCs w:val="16"/>
                <w:lang w:val="en-GB" w:eastAsia="pl-PL"/>
              </w:rPr>
              <w:t xml:space="preserve"> </w:t>
            </w:r>
            <w:r>
              <w:rPr>
                <w:b/>
                <w:bCs/>
                <w:spacing w:val="8"/>
                <w:sz w:val="28"/>
                <w:szCs w:val="16"/>
                <w:lang w:val="en-GB" w:eastAsia="pl-PL"/>
              </w:rPr>
              <w:t>Pg</w:t>
            </w:r>
            <w:r w:rsidRPr="00733BFC">
              <w:rPr>
                <w:b/>
                <w:bCs/>
                <w:sz w:val="28"/>
                <w:szCs w:val="16"/>
                <w:lang w:val="en-GB" w:eastAsia="pl-PL"/>
              </w:rPr>
              <w:t xml:space="preserve">. </w:t>
            </w:r>
            <w:r w:rsidR="00A550E4">
              <w:rPr>
                <w:b/>
                <w:bCs/>
                <w:sz w:val="28"/>
                <w:szCs w:val="16"/>
                <w:lang w:val="en-GB" w:eastAsia="pl-PL"/>
              </w:rPr>
              <w:t>1</w:t>
            </w:r>
            <w:r w:rsidR="004B31AD">
              <w:rPr>
                <w:b/>
                <w:bCs/>
                <w:sz w:val="28"/>
                <w:szCs w:val="16"/>
                <w:lang w:val="en-GB" w:eastAsia="pl-PL"/>
              </w:rPr>
              <w:t>21</w:t>
            </w:r>
            <w:r w:rsidR="008F25A2">
              <w:rPr>
                <w:b/>
                <w:bCs/>
                <w:sz w:val="28"/>
                <w:szCs w:val="16"/>
                <w:lang w:val="en-GB" w:eastAsia="pl-PL"/>
              </w:rPr>
              <w:t>-</w:t>
            </w:r>
            <w:r w:rsidR="001C281D">
              <w:rPr>
                <w:b/>
                <w:bCs/>
                <w:sz w:val="28"/>
                <w:szCs w:val="16"/>
                <w:lang w:val="en-GB" w:eastAsia="pl-PL"/>
              </w:rPr>
              <w:t xml:space="preserve"> </w:t>
            </w:r>
            <w:r w:rsidR="00C97CF8">
              <w:rPr>
                <w:b/>
                <w:bCs/>
                <w:sz w:val="28"/>
                <w:szCs w:val="16"/>
                <w:lang w:val="en-GB" w:eastAsia="pl-PL"/>
              </w:rPr>
              <w:t>135</w:t>
            </w:r>
          </w:p>
        </w:tc>
      </w:tr>
      <w:tr w:rsidR="00733BFC" w14:paraId="54D582E2" w14:textId="77777777" w:rsidTr="00733BFC">
        <w:trPr>
          <w:trHeight w:val="463"/>
        </w:trPr>
        <w:tc>
          <w:tcPr>
            <w:tcW w:w="8229" w:type="dxa"/>
            <w:shd w:val="clear" w:color="auto" w:fill="1F3864" w:themeFill="accent1" w:themeFillShade="80"/>
            <w:vAlign w:val="center"/>
          </w:tcPr>
          <w:p w14:paraId="212A3D92" w14:textId="2A2E9935" w:rsidR="00733BFC" w:rsidRPr="00722A89" w:rsidRDefault="002C49F4" w:rsidP="00733BFC">
            <w:pPr>
              <w:jc w:val="center"/>
              <w:rPr>
                <w:b/>
              </w:rPr>
            </w:pPr>
            <w:hyperlink r:id="rId10" w:history="1">
              <w:r w:rsidR="00125012" w:rsidRPr="00125012">
                <w:rPr>
                  <w:rStyle w:val="Hyperlink"/>
                  <w:b/>
                  <w:color w:val="FFFFFF" w:themeColor="background1"/>
                </w:rPr>
                <w:t>http://hrmars.com/index.php/pages/detail/IJARAFMS</w:t>
              </w:r>
            </w:hyperlink>
          </w:p>
        </w:tc>
        <w:tc>
          <w:tcPr>
            <w:tcW w:w="2601" w:type="dxa"/>
            <w:shd w:val="clear" w:color="auto" w:fill="1F3864" w:themeFill="accent1" w:themeFillShade="80"/>
            <w:vAlign w:val="center"/>
          </w:tcPr>
          <w:p w14:paraId="6C88BD5D" w14:textId="77777777" w:rsidR="00733BFC" w:rsidRPr="00722A89" w:rsidRDefault="00733BFC" w:rsidP="00733BFC">
            <w:pPr>
              <w:jc w:val="center"/>
              <w:rPr>
                <w:b/>
              </w:rPr>
            </w:pPr>
            <w:r w:rsidRPr="00722A89">
              <w:rPr>
                <w:b/>
              </w:rPr>
              <w:t>JOURNAL HOMEPAGE</w:t>
            </w:r>
          </w:p>
        </w:tc>
      </w:tr>
    </w:tbl>
    <w:p w14:paraId="3BFBD0F0" w14:textId="77777777" w:rsidR="00317C65" w:rsidRDefault="00317C65" w:rsidP="00317C65">
      <w:pPr>
        <w:ind w:firstLine="720"/>
      </w:pPr>
    </w:p>
    <w:p w14:paraId="2DFFFAC3" w14:textId="7B854829" w:rsidR="00317C65" w:rsidRDefault="00317C65" w:rsidP="00722A89">
      <w:pPr>
        <w:jc w:val="center"/>
      </w:pPr>
      <w:r w:rsidRPr="0011697D">
        <w:rPr>
          <w:b/>
          <w:sz w:val="20"/>
        </w:rPr>
        <w:t>Full Terms &amp; Conditions of access and use can be found at</w:t>
      </w:r>
      <w:r w:rsidRPr="00D87D34">
        <w:rPr>
          <w:sz w:val="20"/>
        </w:rPr>
        <w:t xml:space="preserve"> </w:t>
      </w:r>
      <w:r w:rsidR="0011697D" w:rsidRPr="000026E9">
        <w:t>http://hrmars.com/index.php/pages/detail/publication-ethics</w:t>
      </w:r>
    </w:p>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11697D" w14:paraId="1F1D9231" w14:textId="77777777" w:rsidTr="0071356F">
        <w:trPr>
          <w:trHeight w:val="2536"/>
        </w:trPr>
        <w:tc>
          <w:tcPr>
            <w:tcW w:w="11281" w:type="dxa"/>
          </w:tcPr>
          <w:p w14:paraId="08577B30" w14:textId="19FF486B" w:rsidR="0011697D" w:rsidRDefault="003B0E8F" w:rsidP="0071356F">
            <w:r>
              <w:rPr>
                <w:noProof/>
              </w:rPr>
              <w:lastRenderedPageBreak/>
              <w:drawing>
                <wp:inline distT="0" distB="0" distL="0" distR="0" wp14:anchorId="7189E8D7" wp14:editId="6F87C53E">
                  <wp:extent cx="6984873" cy="16002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717400DF" w14:textId="44985406" w:rsidR="00871E46" w:rsidRDefault="00871E46" w:rsidP="00871E46">
      <w:pPr>
        <w:spacing w:after="0" w:line="240" w:lineRule="auto"/>
        <w:jc w:val="center"/>
        <w:rPr>
          <w:rFonts w:ascii="Calibri" w:hAnsi="Calibri" w:cs="Calibri"/>
          <w:b/>
          <w:bCs/>
          <w:iCs/>
          <w:sz w:val="24"/>
          <w:szCs w:val="24"/>
          <w:lang w:bidi="en-US"/>
        </w:rPr>
      </w:pPr>
    </w:p>
    <w:p w14:paraId="4EEF14EC" w14:textId="58ABB0E6" w:rsidR="005E263E" w:rsidRPr="00AA32E1" w:rsidRDefault="005E263E" w:rsidP="005E263E">
      <w:pPr>
        <w:pStyle w:val="Heading11"/>
        <w:rPr>
          <w:lang w:val="en-GB"/>
        </w:rPr>
      </w:pPr>
      <w:r w:rsidRPr="00AA32E1">
        <w:rPr>
          <w:lang w:val="en-GB"/>
        </w:rPr>
        <w:t xml:space="preserve">Assessing the Relationship between Budget Participation and Employees’ Performance of Public Universities in Ghana: </w:t>
      </w:r>
      <w:r w:rsidR="006266B8">
        <w:rPr>
          <w:lang w:val="en-GB"/>
        </w:rPr>
        <w:t>A</w:t>
      </w:r>
      <w:bookmarkStart w:id="0" w:name="_GoBack"/>
      <w:bookmarkEnd w:id="0"/>
      <w:r w:rsidRPr="00AA32E1">
        <w:rPr>
          <w:lang w:val="en-GB"/>
        </w:rPr>
        <w:t xml:space="preserve"> Case of University of Education</w:t>
      </w:r>
    </w:p>
    <w:p w14:paraId="45028683" w14:textId="77777777" w:rsidR="005E263E" w:rsidRPr="00AA32E1" w:rsidRDefault="005E263E" w:rsidP="005E263E">
      <w:pPr>
        <w:spacing w:after="0" w:line="240" w:lineRule="auto"/>
        <w:jc w:val="center"/>
        <w:rPr>
          <w:rFonts w:ascii="Calibri" w:hAnsi="Calibri" w:cs="Calibri"/>
          <w:sz w:val="24"/>
          <w:szCs w:val="24"/>
        </w:rPr>
      </w:pPr>
    </w:p>
    <w:p w14:paraId="2EA47870" w14:textId="70B45182" w:rsidR="005E263E" w:rsidRPr="005E263E" w:rsidRDefault="005E263E" w:rsidP="005E263E">
      <w:pPr>
        <w:pStyle w:val="AUTHORSNAME"/>
        <w:rPr>
          <w:vertAlign w:val="superscript"/>
        </w:rPr>
      </w:pPr>
      <w:r w:rsidRPr="005E263E">
        <w:t>Eric Edwin Owusu</w:t>
      </w:r>
      <w:r w:rsidRPr="005E263E">
        <w:rPr>
          <w:vertAlign w:val="superscript"/>
        </w:rPr>
        <w:t>1</w:t>
      </w:r>
      <w:r w:rsidRPr="005E263E">
        <w:t>, Gabriel Dwomoh</w:t>
      </w:r>
      <w:r w:rsidRPr="005E263E">
        <w:rPr>
          <w:vertAlign w:val="superscript"/>
        </w:rPr>
        <w:t>2</w:t>
      </w:r>
      <w:r w:rsidRPr="005E263E">
        <w:t>, Mintah Collins</w:t>
      </w:r>
      <w:r w:rsidRPr="005E263E">
        <w:rPr>
          <w:vertAlign w:val="superscript"/>
        </w:rPr>
        <w:t>3</w:t>
      </w:r>
      <w:r w:rsidRPr="005E263E">
        <w:t>, Gyamfuah Yaa</w:t>
      </w:r>
      <w:r w:rsidRPr="005E263E">
        <w:rPr>
          <w:vertAlign w:val="superscript"/>
        </w:rPr>
        <w:t>4</w:t>
      </w:r>
      <w:r w:rsidRPr="005E263E">
        <w:t>, Ofori Daniel</w:t>
      </w:r>
      <w:r w:rsidRPr="005E263E">
        <w:rPr>
          <w:vertAlign w:val="superscript"/>
        </w:rPr>
        <w:t>5</w:t>
      </w:r>
    </w:p>
    <w:p w14:paraId="3486A832" w14:textId="754ACCFB" w:rsidR="005E263E" w:rsidRPr="005E263E" w:rsidRDefault="005E263E" w:rsidP="005E263E">
      <w:pPr>
        <w:spacing w:after="0" w:line="240" w:lineRule="auto"/>
        <w:jc w:val="center"/>
        <w:rPr>
          <w:rFonts w:ascii="Calibri" w:hAnsi="Calibri" w:cs="Calibri"/>
          <w:sz w:val="24"/>
          <w:szCs w:val="24"/>
        </w:rPr>
      </w:pPr>
      <w:r w:rsidRPr="005E263E">
        <w:rPr>
          <w:rFonts w:ascii="Calibri" w:hAnsi="Calibri" w:cs="Calibri"/>
          <w:sz w:val="24"/>
          <w:szCs w:val="24"/>
          <w:vertAlign w:val="superscript"/>
        </w:rPr>
        <w:t>1,4</w:t>
      </w:r>
      <w:r w:rsidRPr="005E263E">
        <w:rPr>
          <w:rFonts w:ascii="Calibri" w:hAnsi="Calibri" w:cs="Calibri"/>
          <w:sz w:val="24"/>
          <w:szCs w:val="24"/>
        </w:rPr>
        <w:t xml:space="preserve">IEED, Kumasi Polytechnic, Ghana, </w:t>
      </w:r>
      <w:r w:rsidRPr="005E263E">
        <w:rPr>
          <w:rFonts w:ascii="Calibri" w:hAnsi="Calibri" w:cs="Calibri"/>
          <w:sz w:val="24"/>
          <w:szCs w:val="24"/>
          <w:vertAlign w:val="superscript"/>
        </w:rPr>
        <w:t>2</w:t>
      </w:r>
      <w:r w:rsidRPr="005E263E">
        <w:rPr>
          <w:rFonts w:ascii="Calibri" w:hAnsi="Calibri" w:cs="Calibri"/>
          <w:sz w:val="24"/>
          <w:szCs w:val="24"/>
        </w:rPr>
        <w:t xml:space="preserve">School of Business, KNUST, Ghana, </w:t>
      </w:r>
      <w:r w:rsidRPr="005E263E">
        <w:rPr>
          <w:rFonts w:ascii="Calibri" w:hAnsi="Calibri" w:cs="Calibri"/>
          <w:sz w:val="24"/>
          <w:szCs w:val="24"/>
          <w:vertAlign w:val="superscript"/>
        </w:rPr>
        <w:t>3</w:t>
      </w:r>
      <w:r w:rsidRPr="005E263E">
        <w:rPr>
          <w:rFonts w:ascii="Calibri" w:hAnsi="Calibri" w:cs="Calibri"/>
          <w:sz w:val="24"/>
          <w:szCs w:val="24"/>
        </w:rPr>
        <w:t>University of Education, Ghana</w:t>
      </w:r>
    </w:p>
    <w:p w14:paraId="6AB74C3C" w14:textId="1033579E" w:rsidR="005E263E" w:rsidRPr="005E263E" w:rsidRDefault="005E263E" w:rsidP="005E263E">
      <w:pPr>
        <w:spacing w:after="0" w:line="240" w:lineRule="auto"/>
        <w:jc w:val="center"/>
        <w:rPr>
          <w:rFonts w:ascii="Calibri" w:hAnsi="Calibri" w:cs="Calibri"/>
          <w:sz w:val="24"/>
          <w:szCs w:val="24"/>
        </w:rPr>
      </w:pPr>
      <w:r w:rsidRPr="005E263E">
        <w:rPr>
          <w:rFonts w:ascii="Calibri" w:hAnsi="Calibri" w:cs="Calibri"/>
          <w:sz w:val="24"/>
          <w:szCs w:val="24"/>
        </w:rPr>
        <w:t>Email: gabdwumoo@yahoo.com (Corresponding author)</w:t>
      </w:r>
    </w:p>
    <w:p w14:paraId="05A5509C" w14:textId="77777777" w:rsidR="005E263E" w:rsidRPr="005E263E" w:rsidRDefault="005E263E" w:rsidP="005E263E">
      <w:pPr>
        <w:spacing w:after="0" w:line="240" w:lineRule="auto"/>
        <w:jc w:val="both"/>
        <w:rPr>
          <w:rFonts w:ascii="Calibri" w:hAnsi="Calibri" w:cs="Calibri"/>
          <w:sz w:val="24"/>
          <w:szCs w:val="24"/>
        </w:rPr>
      </w:pPr>
    </w:p>
    <w:p w14:paraId="118F7616" w14:textId="77777777" w:rsidR="005E263E" w:rsidRDefault="005E263E" w:rsidP="005E263E">
      <w:pPr>
        <w:tabs>
          <w:tab w:val="left" w:pos="1188"/>
          <w:tab w:val="left" w:pos="9108"/>
        </w:tabs>
        <w:spacing w:after="0" w:line="240" w:lineRule="auto"/>
        <w:jc w:val="both"/>
        <w:rPr>
          <w:rFonts w:ascii="Calibri" w:hAnsi="Calibri" w:cs="Calibri"/>
          <w:b/>
          <w:sz w:val="24"/>
          <w:szCs w:val="24"/>
        </w:rPr>
      </w:pPr>
      <w:r w:rsidRPr="005E263E">
        <w:rPr>
          <w:rFonts w:ascii="Calibri" w:hAnsi="Calibri" w:cs="Calibri"/>
          <w:b/>
          <w:sz w:val="24"/>
          <w:szCs w:val="24"/>
        </w:rPr>
        <w:t>Abstract</w:t>
      </w:r>
      <w:r w:rsidRPr="005E263E">
        <w:rPr>
          <w:rFonts w:ascii="Calibri" w:hAnsi="Calibri" w:cs="Calibri"/>
          <w:b/>
          <w:sz w:val="24"/>
          <w:szCs w:val="24"/>
        </w:rPr>
        <w:tab/>
      </w:r>
    </w:p>
    <w:p w14:paraId="0E83DFC8" w14:textId="1F0EB055" w:rsidR="005E263E" w:rsidRDefault="005E263E" w:rsidP="005E263E">
      <w:pPr>
        <w:tabs>
          <w:tab w:val="left" w:pos="1188"/>
          <w:tab w:val="left" w:pos="9108"/>
        </w:tabs>
        <w:spacing w:after="0" w:line="240" w:lineRule="auto"/>
        <w:jc w:val="both"/>
        <w:rPr>
          <w:rFonts w:ascii="Calibri" w:hAnsi="Calibri" w:cs="Calibri"/>
          <w:sz w:val="24"/>
          <w:szCs w:val="24"/>
        </w:rPr>
      </w:pPr>
      <w:r w:rsidRPr="005E263E">
        <w:rPr>
          <w:rFonts w:ascii="Calibri" w:hAnsi="Calibri" w:cs="Calibri"/>
          <w:sz w:val="24"/>
          <w:szCs w:val="24"/>
        </w:rPr>
        <w:t>The study examined the relationship between budget participation and employees’ performance of public universities in Ghana using University of Education as the study area.  It therefore seeks to explore the behavioral elements of budgeting process in the study area and determine budget participation relationship with employees’ performance and commitment to budget goal. The study employed the quantitative research methodology and used convenience and simple random sampling techniques to select 110 employees of the university as respondents. Data was analyzed using SPSS 16. The findings of the study showed that the relationship between budget participation and employees’ performance (attainment of budget goal) was positive though not significant connoting that budget participation alone cannot significantly influence attainment of budget goal. Despite that it cannot alone help an organization to achieve its budget goal; it was evident from the study that it serves as the foundation for the other behavioral elements to be realized in the budgeting process.  The research therefore argued out strongly for policy makers to hammer on budget participation since it is the foundation of which the other behavioral elements to achieving budget goal revolves.</w:t>
      </w:r>
    </w:p>
    <w:p w14:paraId="7B74E952" w14:textId="4527B319" w:rsidR="005E263E" w:rsidRPr="005E263E" w:rsidRDefault="005E263E" w:rsidP="005E263E">
      <w:pPr>
        <w:tabs>
          <w:tab w:val="left" w:pos="1188"/>
          <w:tab w:val="left" w:pos="9108"/>
        </w:tabs>
        <w:spacing w:after="0" w:line="240" w:lineRule="auto"/>
        <w:jc w:val="both"/>
        <w:rPr>
          <w:rFonts w:ascii="Calibri" w:hAnsi="Calibri" w:cs="Calibri"/>
          <w:sz w:val="24"/>
          <w:szCs w:val="24"/>
        </w:rPr>
      </w:pPr>
      <w:r w:rsidRPr="005E263E">
        <w:rPr>
          <w:rFonts w:ascii="Calibri" w:hAnsi="Calibri" w:cs="Calibri"/>
          <w:b/>
          <w:sz w:val="24"/>
          <w:szCs w:val="24"/>
        </w:rPr>
        <w:t>Keywords</w:t>
      </w:r>
      <w:r>
        <w:rPr>
          <w:rFonts w:ascii="Calibri" w:hAnsi="Calibri" w:cs="Calibri"/>
          <w:b/>
          <w:sz w:val="24"/>
          <w:szCs w:val="24"/>
        </w:rPr>
        <w:t xml:space="preserve">: </w:t>
      </w:r>
      <w:r w:rsidRPr="005E263E">
        <w:rPr>
          <w:rFonts w:ascii="Calibri" w:hAnsi="Calibri" w:cs="Calibri"/>
          <w:sz w:val="24"/>
          <w:szCs w:val="24"/>
          <w:lang w:val="en-GB"/>
        </w:rPr>
        <w:t>Budget Participation, Employees, Performance, Commitment to Goal, Budget</w:t>
      </w:r>
      <w:r w:rsidRPr="005E263E">
        <w:rPr>
          <w:rFonts w:ascii="Calibri" w:hAnsi="Calibri" w:cs="Calibri"/>
          <w:sz w:val="24"/>
          <w:szCs w:val="24"/>
        </w:rPr>
        <w:tab/>
      </w:r>
    </w:p>
    <w:p w14:paraId="48F4646F" w14:textId="77777777" w:rsidR="005E263E" w:rsidRPr="00AA32E1" w:rsidRDefault="005E263E" w:rsidP="005E263E">
      <w:pPr>
        <w:spacing w:after="60" w:line="240" w:lineRule="auto"/>
        <w:jc w:val="both"/>
        <w:rPr>
          <w:rFonts w:ascii="Calibri" w:hAnsi="Calibri" w:cs="Calibri"/>
          <w:b/>
          <w:bCs/>
          <w:sz w:val="24"/>
          <w:szCs w:val="24"/>
        </w:rPr>
      </w:pPr>
      <w:r w:rsidRPr="00AA32E1">
        <w:rPr>
          <w:rFonts w:ascii="Calibri" w:hAnsi="Calibri" w:cs="Calibri"/>
          <w:b/>
          <w:bCs/>
          <w:sz w:val="24"/>
          <w:szCs w:val="24"/>
        </w:rPr>
        <w:t>Introduction</w:t>
      </w:r>
    </w:p>
    <w:p w14:paraId="62BDE2AB" w14:textId="068CC81F"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color w:val="000000"/>
          <w:sz w:val="24"/>
          <w:szCs w:val="24"/>
        </w:rPr>
        <w:t xml:space="preserve">Budgets and budgetary controls are critical part of management control designed to promote the efficiency in the use of resource towards the attainment of corporate strategic objectives. From the literature of </w:t>
      </w:r>
      <w:proofErr w:type="spellStart"/>
      <w:r w:rsidRPr="00AA32E1">
        <w:rPr>
          <w:rFonts w:ascii="Calibri" w:hAnsi="Calibri" w:cs="Calibri"/>
          <w:sz w:val="24"/>
          <w:szCs w:val="24"/>
        </w:rPr>
        <w:t>Altbach</w:t>
      </w:r>
      <w:proofErr w:type="spellEnd"/>
      <w:r w:rsidRPr="00AA32E1">
        <w:rPr>
          <w:rFonts w:ascii="Calibri" w:hAnsi="Calibri" w:cs="Calibri"/>
          <w:sz w:val="24"/>
          <w:szCs w:val="24"/>
        </w:rPr>
        <w:t xml:space="preserve"> and Johnstone (1993)</w:t>
      </w:r>
      <w:r>
        <w:rPr>
          <w:rFonts w:ascii="Calibri" w:hAnsi="Calibri" w:cs="Calibri"/>
          <w:sz w:val="24"/>
          <w:szCs w:val="24"/>
        </w:rPr>
        <w:t>;</w:t>
      </w:r>
      <w:r w:rsidRPr="00AA32E1">
        <w:rPr>
          <w:rFonts w:ascii="Calibri" w:hAnsi="Calibri" w:cs="Calibri"/>
          <w:sz w:val="24"/>
          <w:szCs w:val="24"/>
        </w:rPr>
        <w:t xml:space="preserve"> Petry and Kenney (1991) cited by </w:t>
      </w:r>
      <w:proofErr w:type="spellStart"/>
      <w:r w:rsidRPr="00AA32E1">
        <w:rPr>
          <w:rFonts w:ascii="Calibri" w:hAnsi="Calibri" w:cs="Calibri"/>
          <w:sz w:val="24"/>
          <w:szCs w:val="24"/>
        </w:rPr>
        <w:t>Moolchand</w:t>
      </w:r>
      <w:proofErr w:type="spellEnd"/>
      <w:r w:rsidRPr="00AA32E1">
        <w:rPr>
          <w:rFonts w:ascii="Calibri" w:hAnsi="Calibri" w:cs="Calibri"/>
          <w:sz w:val="24"/>
          <w:szCs w:val="24"/>
        </w:rPr>
        <w:t xml:space="preserve"> </w:t>
      </w:r>
      <w:r w:rsidRPr="00AA32E1">
        <w:rPr>
          <w:rFonts w:ascii="Calibri" w:hAnsi="Calibri" w:cs="Calibri"/>
          <w:i/>
          <w:sz w:val="24"/>
          <w:szCs w:val="24"/>
        </w:rPr>
        <w:t>et al</w:t>
      </w:r>
      <w:r w:rsidRPr="00AA32E1">
        <w:rPr>
          <w:rFonts w:ascii="Calibri" w:hAnsi="Calibri" w:cs="Calibri"/>
          <w:sz w:val="24"/>
          <w:szCs w:val="24"/>
        </w:rPr>
        <w:t xml:space="preserve"> (2012), it is believed that over recent years, public funding to many universities has declined and continues to do so in real terms.  In Ghana, this is evidenced by the delays and continuous decline of government subventions and releases to public universities. This situation is an outcome of public policy and has the effect of increasing the </w:t>
      </w:r>
      <w:r w:rsidRPr="00AA32E1">
        <w:rPr>
          <w:rFonts w:ascii="Calibri" w:hAnsi="Calibri" w:cs="Calibri"/>
          <w:sz w:val="24"/>
          <w:szCs w:val="24"/>
        </w:rPr>
        <w:lastRenderedPageBreak/>
        <w:t xml:space="preserve">level of competition both between and within universities for available funds (David and </w:t>
      </w:r>
      <w:proofErr w:type="spellStart"/>
      <w:r w:rsidRPr="00AA32E1">
        <w:rPr>
          <w:rFonts w:ascii="Calibri" w:hAnsi="Calibri" w:cs="Calibri"/>
          <w:sz w:val="24"/>
          <w:szCs w:val="24"/>
        </w:rPr>
        <w:t>Gouw</w:t>
      </w:r>
      <w:proofErr w:type="spellEnd"/>
      <w:r w:rsidRPr="00AA32E1">
        <w:rPr>
          <w:rFonts w:ascii="Calibri" w:hAnsi="Calibri" w:cs="Calibri"/>
          <w:sz w:val="24"/>
          <w:szCs w:val="24"/>
        </w:rPr>
        <w:t xml:space="preserve">, 1997). </w:t>
      </w:r>
    </w:p>
    <w:p w14:paraId="29ADACFD"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rPr>
        <w:t xml:space="preserve">The limited available resources vis-à-vis the numerous infrastructural and operational demands require efficient budgeting and consensus building on underlying goals and resource allocation and according to Parkinson and </w:t>
      </w:r>
      <w:proofErr w:type="spellStart"/>
      <w:r w:rsidRPr="00AA32E1">
        <w:rPr>
          <w:rFonts w:ascii="Calibri" w:hAnsi="Calibri" w:cs="Calibri"/>
          <w:sz w:val="24"/>
          <w:szCs w:val="24"/>
        </w:rPr>
        <w:t>Taggar</w:t>
      </w:r>
      <w:proofErr w:type="spellEnd"/>
      <w:r w:rsidRPr="00AA32E1">
        <w:rPr>
          <w:rFonts w:ascii="Calibri" w:hAnsi="Calibri" w:cs="Calibri"/>
          <w:sz w:val="24"/>
          <w:szCs w:val="24"/>
        </w:rPr>
        <w:t xml:space="preserve"> (2000) this can be achieved when the budgeting process has good elements and can garner the necessary support and rightful attitude from both academic and administrative staff as well as improve performance. In accordance with the Ghana’s Financial Administration Act 2003 (Act 654) and Financial Administration Regulation 2004 Act 654, public universities </w:t>
      </w:r>
      <w:proofErr w:type="gramStart"/>
      <w:r w:rsidRPr="00AA32E1">
        <w:rPr>
          <w:rFonts w:ascii="Calibri" w:hAnsi="Calibri" w:cs="Calibri"/>
          <w:sz w:val="24"/>
          <w:szCs w:val="24"/>
        </w:rPr>
        <w:t>which  University</w:t>
      </w:r>
      <w:proofErr w:type="gramEnd"/>
      <w:r w:rsidRPr="00AA32E1">
        <w:rPr>
          <w:rFonts w:ascii="Calibri" w:hAnsi="Calibri" w:cs="Calibri"/>
          <w:sz w:val="24"/>
          <w:szCs w:val="24"/>
        </w:rPr>
        <w:t xml:space="preserve"> of Education is not exempted prepares annual operational budget to project revenue and expenditure in pursuit of medium term and short term goals respectively. The annual operational budget of these universities is prepared in accordance with the approved </w:t>
      </w:r>
      <w:proofErr w:type="gramStart"/>
      <w:r w:rsidRPr="00AA32E1">
        <w:rPr>
          <w:rFonts w:ascii="Calibri" w:hAnsi="Calibri" w:cs="Calibri"/>
          <w:sz w:val="24"/>
          <w:szCs w:val="24"/>
        </w:rPr>
        <w:t>Medium Term</w:t>
      </w:r>
      <w:proofErr w:type="gramEnd"/>
      <w:r w:rsidRPr="00AA32E1">
        <w:rPr>
          <w:rFonts w:ascii="Calibri" w:hAnsi="Calibri" w:cs="Calibri"/>
          <w:sz w:val="24"/>
          <w:szCs w:val="24"/>
        </w:rPr>
        <w:t xml:space="preserve"> Expenditure Framework (MTEF) of the Government of Ghana. Procedures on budget prescribed in the Financial and Stores Regulation 2007 of the public universities indicate a bottom up approach to budgeting, where departments and section present their budget based on departmental operational plans for consolidation. Resource allocation in the universities is based on the approved Norms of the National Council for Tertiary Education (NCTE) which is expected to ensure equitable and fair distribution of resources. The bottom-up approach in the budgeting process and the regulated method of resources allocation are therefore expected to garner positive response attitude and improved performance. </w:t>
      </w:r>
    </w:p>
    <w:p w14:paraId="06D22AD9"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rPr>
        <w:t xml:space="preserve">Despite the fact that this bottom-up approach to budgeting allows for employees participation and subsequently increases employees performance, other researchers such as Wallander (1999) is of the view that it breeds conflict as the end-user who makes the input depending on his profession might reason, think or make decisions that are different from those at the top who initiates the budgeting process. In support of this claim, the writer is of the belief that accountants are trained to protect and improve the liquidity position of the company in which they find themselves whilst other professions such as human resource managers and marketing managers are trained to ensure that the employee and the customer respectively are always taken care of in the organization.  In this light, human resource managers participating in the budgeting process may initiate and strongly defend that certain incentives and </w:t>
      </w:r>
      <w:proofErr w:type="spellStart"/>
      <w:r w:rsidRPr="00AA32E1">
        <w:rPr>
          <w:rFonts w:ascii="Calibri" w:hAnsi="Calibri" w:cs="Calibri"/>
          <w:sz w:val="24"/>
          <w:szCs w:val="24"/>
        </w:rPr>
        <w:t>equipments</w:t>
      </w:r>
      <w:proofErr w:type="spellEnd"/>
      <w:r w:rsidRPr="00AA32E1">
        <w:rPr>
          <w:rFonts w:ascii="Calibri" w:hAnsi="Calibri" w:cs="Calibri"/>
          <w:sz w:val="24"/>
          <w:szCs w:val="24"/>
        </w:rPr>
        <w:t xml:space="preserve"> need to be provided but such initiation might be declined by the accountant seeing it as subordination to ensuring that the liquidity position of the company is always protected.</w:t>
      </w:r>
    </w:p>
    <w:p w14:paraId="47C27E81" w14:textId="77777777" w:rsidR="005E263E" w:rsidRPr="005E263E" w:rsidRDefault="005E263E" w:rsidP="005E263E">
      <w:pPr>
        <w:spacing w:after="0" w:line="240" w:lineRule="auto"/>
        <w:contextualSpacing/>
        <w:jc w:val="both"/>
        <w:rPr>
          <w:rFonts w:ascii="Calibri" w:hAnsi="Calibri" w:cs="Calibri"/>
          <w:sz w:val="24"/>
          <w:szCs w:val="24"/>
        </w:rPr>
      </w:pPr>
      <w:r w:rsidRPr="005E263E">
        <w:rPr>
          <w:rFonts w:ascii="Calibri" w:hAnsi="Calibri" w:cs="Calibri"/>
          <w:sz w:val="24"/>
          <w:szCs w:val="24"/>
        </w:rPr>
        <w:t xml:space="preserve">In this light, initiating budget from the experts who are at the top and cascading it downwards for employees to accept it without their inputs will ensure that there are no diverging views which will bring conflict between the one who allocates the resources and the one who benefits from the allocation. </w:t>
      </w:r>
    </w:p>
    <w:p w14:paraId="0B7BF322" w14:textId="77777777" w:rsidR="005E263E" w:rsidRPr="005E263E" w:rsidRDefault="005E263E" w:rsidP="005E263E">
      <w:pPr>
        <w:spacing w:after="0" w:line="240" w:lineRule="auto"/>
        <w:contextualSpacing/>
        <w:jc w:val="both"/>
        <w:rPr>
          <w:rFonts w:ascii="Calibri" w:hAnsi="Calibri" w:cs="Calibri"/>
          <w:sz w:val="24"/>
          <w:szCs w:val="24"/>
        </w:rPr>
      </w:pPr>
      <w:r w:rsidRPr="005E263E">
        <w:rPr>
          <w:rFonts w:ascii="Calibri" w:hAnsi="Calibri" w:cs="Calibri"/>
          <w:sz w:val="24"/>
          <w:szCs w:val="24"/>
        </w:rPr>
        <w:t xml:space="preserve">In supporting the comment put forward by Wallander (1999), Neely, Sutcliff, and </w:t>
      </w:r>
      <w:proofErr w:type="spellStart"/>
      <w:r w:rsidRPr="005E263E">
        <w:rPr>
          <w:rFonts w:ascii="Calibri" w:hAnsi="Calibri" w:cs="Calibri"/>
          <w:sz w:val="24"/>
          <w:szCs w:val="24"/>
        </w:rPr>
        <w:t>Heyns</w:t>
      </w:r>
      <w:proofErr w:type="spellEnd"/>
      <w:r w:rsidRPr="005E263E">
        <w:rPr>
          <w:rFonts w:ascii="Calibri" w:hAnsi="Calibri" w:cs="Calibri"/>
          <w:sz w:val="24"/>
          <w:szCs w:val="24"/>
        </w:rPr>
        <w:t xml:space="preserve"> (2001) are also of the view that the idea of </w:t>
      </w:r>
      <w:proofErr w:type="spellStart"/>
      <w:r w:rsidRPr="005E263E">
        <w:rPr>
          <w:rFonts w:ascii="Calibri" w:hAnsi="Calibri" w:cs="Calibri"/>
          <w:sz w:val="24"/>
          <w:szCs w:val="24"/>
        </w:rPr>
        <w:t>behavioural</w:t>
      </w:r>
      <w:proofErr w:type="spellEnd"/>
      <w:r w:rsidRPr="005E263E">
        <w:rPr>
          <w:rFonts w:ascii="Calibri" w:hAnsi="Calibri" w:cs="Calibri"/>
          <w:sz w:val="24"/>
          <w:szCs w:val="24"/>
        </w:rPr>
        <w:t xml:space="preserve"> elements such as budget participation playing a crucial role in budgeting process as can be seen from the Financial Administration Act 2003 (Act 654) and Financial Administration Regulation 2004 Act 654, which Ghana’s public universities budgets are based cannot be accepted outright.  In their view, budget participation does not lead to fairness in the distribution of resources since by nature budgets are based on gaming and perverse </w:t>
      </w:r>
      <w:proofErr w:type="spellStart"/>
      <w:r w:rsidRPr="005E263E">
        <w:rPr>
          <w:rFonts w:ascii="Calibri" w:hAnsi="Calibri" w:cs="Calibri"/>
          <w:sz w:val="24"/>
          <w:szCs w:val="24"/>
        </w:rPr>
        <w:t>behaviour</w:t>
      </w:r>
      <w:proofErr w:type="spellEnd"/>
      <w:r w:rsidRPr="005E263E">
        <w:rPr>
          <w:rFonts w:ascii="Calibri" w:hAnsi="Calibri" w:cs="Calibri"/>
          <w:sz w:val="24"/>
          <w:szCs w:val="24"/>
        </w:rPr>
        <w:t xml:space="preserve">.  It is not managers or </w:t>
      </w:r>
      <w:proofErr w:type="gramStart"/>
      <w:r w:rsidRPr="005E263E">
        <w:rPr>
          <w:rFonts w:ascii="Calibri" w:hAnsi="Calibri" w:cs="Calibri"/>
          <w:sz w:val="24"/>
          <w:szCs w:val="24"/>
        </w:rPr>
        <w:t>employees</w:t>
      </w:r>
      <w:proofErr w:type="gramEnd"/>
      <w:r w:rsidRPr="005E263E">
        <w:rPr>
          <w:rFonts w:ascii="Calibri" w:hAnsi="Calibri" w:cs="Calibri"/>
          <w:sz w:val="24"/>
          <w:szCs w:val="24"/>
        </w:rPr>
        <w:t xml:space="preserve"> participation that will make their section have a fair share of the organization’s resources but it largely depends on the relationship and the lobbying skills of the manager or the employee.  Now looking at these two sides, there is a worry as to one identifying the actual role of </w:t>
      </w:r>
      <w:proofErr w:type="spellStart"/>
      <w:r w:rsidRPr="005E263E">
        <w:rPr>
          <w:rFonts w:ascii="Calibri" w:hAnsi="Calibri" w:cs="Calibri"/>
          <w:sz w:val="24"/>
          <w:szCs w:val="24"/>
        </w:rPr>
        <w:t>behavioural</w:t>
      </w:r>
      <w:proofErr w:type="spellEnd"/>
      <w:r w:rsidRPr="005E263E">
        <w:rPr>
          <w:rFonts w:ascii="Calibri" w:hAnsi="Calibri" w:cs="Calibri"/>
          <w:sz w:val="24"/>
          <w:szCs w:val="24"/>
        </w:rPr>
        <w:t xml:space="preserve"> </w:t>
      </w:r>
      <w:r w:rsidRPr="005E263E">
        <w:rPr>
          <w:rFonts w:ascii="Calibri" w:hAnsi="Calibri" w:cs="Calibri"/>
          <w:sz w:val="24"/>
          <w:szCs w:val="24"/>
        </w:rPr>
        <w:lastRenderedPageBreak/>
        <w:t xml:space="preserve">elements in the budgeting process of public universities in Ghana since the Act is meant to ensure that the bottom-up approach which it recommends for budget preparation of these public universities will have all the </w:t>
      </w:r>
      <w:proofErr w:type="spellStart"/>
      <w:r w:rsidRPr="005E263E">
        <w:rPr>
          <w:rFonts w:ascii="Calibri" w:hAnsi="Calibri" w:cs="Calibri"/>
          <w:sz w:val="24"/>
          <w:szCs w:val="24"/>
        </w:rPr>
        <w:t>behavioural</w:t>
      </w:r>
      <w:proofErr w:type="spellEnd"/>
      <w:r w:rsidRPr="005E263E">
        <w:rPr>
          <w:rFonts w:ascii="Calibri" w:hAnsi="Calibri" w:cs="Calibri"/>
          <w:sz w:val="24"/>
          <w:szCs w:val="24"/>
        </w:rPr>
        <w:t xml:space="preserve"> elements which will in turn lead to the benefit of these universities through improved employee performance.</w:t>
      </w:r>
    </w:p>
    <w:p w14:paraId="2D2B11C8" w14:textId="77777777" w:rsidR="005E263E" w:rsidRPr="00AA32E1" w:rsidRDefault="005E263E" w:rsidP="005E263E">
      <w:pPr>
        <w:pStyle w:val="ListParagraph"/>
        <w:spacing w:after="0" w:line="240" w:lineRule="auto"/>
        <w:ind w:left="0" w:firstLine="567"/>
        <w:jc w:val="both"/>
        <w:rPr>
          <w:rFonts w:eastAsia="Times New Roman" w:cs="Calibri"/>
          <w:sz w:val="24"/>
          <w:szCs w:val="24"/>
          <w:lang w:eastAsia="en-GB"/>
        </w:rPr>
      </w:pPr>
    </w:p>
    <w:p w14:paraId="6855E27F" w14:textId="77777777" w:rsidR="005E263E" w:rsidRPr="00AA32E1" w:rsidRDefault="005E263E" w:rsidP="005E263E">
      <w:pPr>
        <w:pStyle w:val="NoSpacing"/>
        <w:widowControl w:val="0"/>
        <w:tabs>
          <w:tab w:val="left" w:pos="851"/>
        </w:tabs>
        <w:spacing w:after="60"/>
        <w:jc w:val="both"/>
        <w:rPr>
          <w:rFonts w:cs="Calibri"/>
          <w:b/>
          <w:sz w:val="24"/>
          <w:szCs w:val="24"/>
        </w:rPr>
      </w:pPr>
      <w:r w:rsidRPr="00AA32E1">
        <w:rPr>
          <w:rFonts w:cs="Calibri"/>
          <w:b/>
          <w:sz w:val="24"/>
          <w:szCs w:val="24"/>
        </w:rPr>
        <w:t>Literature Review</w:t>
      </w:r>
    </w:p>
    <w:p w14:paraId="41DF0EDC"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rPr>
        <w:t xml:space="preserve">The literature review of the study focuses on Ghana’s public sector budgeting system and the </w:t>
      </w:r>
      <w:proofErr w:type="spellStart"/>
      <w:r w:rsidRPr="00AA32E1">
        <w:rPr>
          <w:rFonts w:ascii="Calibri" w:hAnsi="Calibri" w:cs="Calibri"/>
          <w:sz w:val="24"/>
          <w:szCs w:val="24"/>
        </w:rPr>
        <w:t>behavioural</w:t>
      </w:r>
      <w:proofErr w:type="spellEnd"/>
      <w:r w:rsidRPr="00AA32E1">
        <w:rPr>
          <w:rFonts w:ascii="Calibri" w:hAnsi="Calibri" w:cs="Calibri"/>
          <w:sz w:val="24"/>
          <w:szCs w:val="24"/>
        </w:rPr>
        <w:t xml:space="preserve"> elements of budgeting including budget participation, budget goal clarity, procedure fairness and perception of revenue distribution fairness. It also includes literature on the relationship between budget </w:t>
      </w:r>
      <w:proofErr w:type="spellStart"/>
      <w:r w:rsidRPr="00AA32E1">
        <w:rPr>
          <w:rFonts w:ascii="Calibri" w:hAnsi="Calibri" w:cs="Calibri"/>
          <w:sz w:val="24"/>
          <w:szCs w:val="24"/>
        </w:rPr>
        <w:t>behavioural</w:t>
      </w:r>
      <w:proofErr w:type="spellEnd"/>
      <w:r w:rsidRPr="00AA32E1">
        <w:rPr>
          <w:rFonts w:ascii="Calibri" w:hAnsi="Calibri" w:cs="Calibri"/>
          <w:sz w:val="24"/>
          <w:szCs w:val="24"/>
        </w:rPr>
        <w:t xml:space="preserve"> elements and employee performance and commitment to corporate goal.</w:t>
      </w:r>
      <w:r w:rsidRPr="00AA32E1">
        <w:rPr>
          <w:rFonts w:ascii="Calibri" w:hAnsi="Calibri" w:cs="Calibri"/>
          <w:b/>
          <w:sz w:val="24"/>
          <w:szCs w:val="24"/>
        </w:rPr>
        <w:t xml:space="preserve"> </w:t>
      </w:r>
      <w:r w:rsidRPr="00AA32E1">
        <w:rPr>
          <w:rFonts w:ascii="Calibri" w:hAnsi="Calibri" w:cs="Calibri"/>
          <w:sz w:val="24"/>
          <w:szCs w:val="24"/>
        </w:rPr>
        <w:t xml:space="preserve">From the literature of Reid (2002), budget expresses the expectations of a company presented in economic terms for a future time period.  The roles of the budget among others from the commentary given by Topper (2007) include; determining the requirement for funds to service the needs of scheduled activities during a defined period, estimating the cost of a set of activities and subsequently determining which ones will be undertaken within the capacity of the resources available, controlling the business through the allocation of business funds to different activities, and making adjustment in the allocation of funds between activities during the planned time period.  </w:t>
      </w:r>
    </w:p>
    <w:p w14:paraId="2549D6E7"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rPr>
        <w:t xml:space="preserve">Participation on the other hand from the literature of Mai (1988) supported by Parkinson and </w:t>
      </w:r>
      <w:proofErr w:type="spellStart"/>
      <w:r w:rsidRPr="00AA32E1">
        <w:rPr>
          <w:rFonts w:ascii="Calibri" w:hAnsi="Calibri" w:cs="Calibri"/>
          <w:sz w:val="24"/>
          <w:szCs w:val="24"/>
        </w:rPr>
        <w:t>Taggar</w:t>
      </w:r>
      <w:proofErr w:type="spellEnd"/>
      <w:r w:rsidRPr="00AA32E1">
        <w:rPr>
          <w:rFonts w:ascii="Calibri" w:hAnsi="Calibri" w:cs="Calibri"/>
          <w:sz w:val="24"/>
          <w:szCs w:val="24"/>
        </w:rPr>
        <w:t xml:space="preserve"> as well as Lin and Chang (2005) is seen as a process that can be used for planning and goal setting when there is environmental uncertainty and for motivating subordinates. To the writers, participation in budgeting yields benefits through a great exchange of information, better coordination of activities and development of team spirit. Nouri and Parker (1998) argue that allowing subordinates to participate in the budget setting process may result in them disclosing of “private information” which would result in more realistic plans and more accurate budgets. This benefit of budget participation is also shared by Shah (2007) who also highlighted that employee participation in the budgeting process allows for proper alignment of goals of different parties involved in the process.</w:t>
      </w:r>
      <w:r w:rsidRPr="00AA32E1">
        <w:rPr>
          <w:rFonts w:ascii="Calibri" w:hAnsi="Calibri" w:cs="Calibri"/>
          <w:b/>
          <w:sz w:val="24"/>
          <w:szCs w:val="24"/>
        </w:rPr>
        <w:t xml:space="preserve"> </w:t>
      </w:r>
      <w:r w:rsidRPr="00AA32E1">
        <w:rPr>
          <w:rFonts w:ascii="Calibri" w:hAnsi="Calibri" w:cs="Calibri"/>
          <w:sz w:val="24"/>
          <w:szCs w:val="24"/>
        </w:rPr>
        <w:t xml:space="preserve">Many writers such as </w:t>
      </w:r>
      <w:proofErr w:type="spellStart"/>
      <w:r w:rsidRPr="00AA32E1">
        <w:rPr>
          <w:rFonts w:ascii="Calibri" w:hAnsi="Calibri" w:cs="Calibri"/>
          <w:sz w:val="24"/>
          <w:szCs w:val="24"/>
        </w:rPr>
        <w:t>Chenhall</w:t>
      </w:r>
      <w:proofErr w:type="spellEnd"/>
      <w:r w:rsidRPr="00AA32E1">
        <w:rPr>
          <w:rFonts w:ascii="Calibri" w:hAnsi="Calibri" w:cs="Calibri"/>
          <w:sz w:val="24"/>
          <w:szCs w:val="24"/>
        </w:rPr>
        <w:t xml:space="preserve"> and Brownell (1988) as well as Parker and Kyi (2006) quoted by Nasser (2011) see budget participation as the best way by which budget goal can be clear to the employees and to remove any role ambiguity in the organization.  To the writers, role ambiguity has a significant negative association with individual performance and this can be corrected through budget participation.</w:t>
      </w:r>
    </w:p>
    <w:p w14:paraId="1CC6329D" w14:textId="1A269C34" w:rsidR="005E263E" w:rsidRPr="00AA32E1" w:rsidRDefault="005E263E" w:rsidP="005E263E">
      <w:pPr>
        <w:spacing w:after="0" w:line="240" w:lineRule="auto"/>
        <w:ind w:firstLine="567"/>
        <w:jc w:val="both"/>
        <w:rPr>
          <w:rFonts w:ascii="Calibri" w:hAnsi="Calibri" w:cs="Calibri"/>
          <w:sz w:val="24"/>
          <w:szCs w:val="24"/>
          <w:lang w:eastAsia="en-GB"/>
        </w:rPr>
      </w:pPr>
      <w:r w:rsidRPr="00AA32E1">
        <w:rPr>
          <w:rFonts w:ascii="Calibri" w:hAnsi="Calibri" w:cs="Calibri"/>
          <w:sz w:val="24"/>
          <w:szCs w:val="24"/>
        </w:rPr>
        <w:t xml:space="preserve">Though writers such as </w:t>
      </w:r>
      <w:r w:rsidRPr="00AA32E1">
        <w:rPr>
          <w:rFonts w:ascii="Calibri" w:hAnsi="Calibri" w:cs="Calibri"/>
          <w:sz w:val="24"/>
          <w:szCs w:val="24"/>
          <w:lang w:eastAsia="en-GB"/>
        </w:rPr>
        <w:t xml:space="preserve">Neely, Sutcliff, and </w:t>
      </w:r>
      <w:proofErr w:type="spellStart"/>
      <w:r w:rsidRPr="00AA32E1">
        <w:rPr>
          <w:rFonts w:ascii="Calibri" w:hAnsi="Calibri" w:cs="Calibri"/>
          <w:sz w:val="24"/>
          <w:szCs w:val="24"/>
          <w:lang w:eastAsia="en-GB"/>
        </w:rPr>
        <w:t>Heyns</w:t>
      </w:r>
      <w:proofErr w:type="spellEnd"/>
      <w:r w:rsidRPr="00AA32E1">
        <w:rPr>
          <w:rFonts w:ascii="Calibri" w:hAnsi="Calibri" w:cs="Calibri"/>
          <w:sz w:val="24"/>
          <w:szCs w:val="24"/>
          <w:lang w:eastAsia="en-GB"/>
        </w:rPr>
        <w:t xml:space="preserve"> (2001) having contrary views have highlighted the problems of budget and does not see budget participation as leading to fair distribution of resources, writers such as Gilliland (1993)</w:t>
      </w:r>
      <w:r>
        <w:rPr>
          <w:rFonts w:ascii="Calibri" w:hAnsi="Calibri" w:cs="Calibri"/>
          <w:sz w:val="24"/>
          <w:szCs w:val="24"/>
          <w:lang w:eastAsia="en-GB"/>
        </w:rPr>
        <w:t xml:space="preserve">; </w:t>
      </w:r>
      <w:r w:rsidRPr="00AA32E1">
        <w:rPr>
          <w:rFonts w:ascii="Calibri" w:hAnsi="Calibri" w:cs="Calibri"/>
          <w:sz w:val="24"/>
          <w:szCs w:val="24"/>
          <w:lang w:eastAsia="en-GB"/>
        </w:rPr>
        <w:t>Cohen (1987)</w:t>
      </w:r>
      <w:r>
        <w:rPr>
          <w:rFonts w:ascii="Calibri" w:hAnsi="Calibri" w:cs="Calibri"/>
          <w:sz w:val="24"/>
          <w:szCs w:val="24"/>
          <w:lang w:eastAsia="en-GB"/>
        </w:rPr>
        <w:t>;</w:t>
      </w:r>
      <w:r w:rsidRPr="00AA32E1">
        <w:rPr>
          <w:rFonts w:ascii="Calibri" w:hAnsi="Calibri" w:cs="Calibri"/>
          <w:sz w:val="24"/>
          <w:szCs w:val="24"/>
        </w:rPr>
        <w:t xml:space="preserve"> Wentzel (2002)</w:t>
      </w:r>
      <w:r>
        <w:rPr>
          <w:rFonts w:ascii="Calibri" w:hAnsi="Calibri" w:cs="Calibri"/>
          <w:sz w:val="24"/>
          <w:szCs w:val="24"/>
        </w:rPr>
        <w:t>;</w:t>
      </w:r>
      <w:r w:rsidRPr="00AA32E1">
        <w:rPr>
          <w:rFonts w:ascii="Calibri" w:hAnsi="Calibri" w:cs="Calibri"/>
          <w:sz w:val="24"/>
          <w:szCs w:val="24"/>
        </w:rPr>
        <w:t xml:space="preserve"> Lind and Tyler (1988) as well as  Leventhal (1980)</w:t>
      </w:r>
      <w:r w:rsidRPr="00AA32E1">
        <w:rPr>
          <w:rFonts w:ascii="Calibri" w:hAnsi="Calibri" w:cs="Calibri"/>
          <w:sz w:val="24"/>
          <w:szCs w:val="24"/>
          <w:lang w:eastAsia="en-GB"/>
        </w:rPr>
        <w:t xml:space="preserve"> see the assertion by the above writers as fallacious.  To the writers who embrace budget participation, they are of the view that it is the means by which equity in the distribution of resources can be achieved.  In fact, they equated budget participation to equity theory. </w:t>
      </w:r>
    </w:p>
    <w:p w14:paraId="7A906A94"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lang w:eastAsia="en-GB"/>
        </w:rPr>
        <w:t xml:space="preserve"> Looking at the goal theory by Locke (1981), writers such Lin and Chang (2005) support the idea that paying much attention to certain </w:t>
      </w:r>
      <w:proofErr w:type="spellStart"/>
      <w:r w:rsidRPr="00AA32E1">
        <w:rPr>
          <w:rFonts w:ascii="Calibri" w:hAnsi="Calibri" w:cs="Calibri"/>
          <w:sz w:val="24"/>
          <w:szCs w:val="24"/>
          <w:lang w:eastAsia="en-GB"/>
        </w:rPr>
        <w:t>behavioural</w:t>
      </w:r>
      <w:proofErr w:type="spellEnd"/>
      <w:r w:rsidRPr="00AA32E1">
        <w:rPr>
          <w:rFonts w:ascii="Calibri" w:hAnsi="Calibri" w:cs="Calibri"/>
          <w:sz w:val="24"/>
          <w:szCs w:val="24"/>
          <w:lang w:eastAsia="en-GB"/>
        </w:rPr>
        <w:t xml:space="preserve"> elements in budgeting such as allowing employees participation allows employees to be committed to the budget goal which will in turn have significant influence on the employees’ action positively.  In other words, goal commitment attained from budget participation will lead to improved employees’ performance.  Though as can be seen from the literature above that budget </w:t>
      </w:r>
      <w:r w:rsidRPr="00AA32E1">
        <w:rPr>
          <w:rFonts w:ascii="Calibri" w:hAnsi="Calibri" w:cs="Calibri"/>
          <w:sz w:val="24"/>
          <w:szCs w:val="24"/>
          <w:lang w:eastAsia="en-GB"/>
        </w:rPr>
        <w:lastRenderedPageBreak/>
        <w:t xml:space="preserve">participation play a crucial role by making employees committed to the budget goal, writers such as Jones (2001) having a contrast view </w:t>
      </w:r>
      <w:r w:rsidRPr="00AA32E1">
        <w:rPr>
          <w:rFonts w:ascii="Calibri" w:hAnsi="Calibri" w:cs="Calibri"/>
          <w:sz w:val="24"/>
          <w:szCs w:val="24"/>
        </w:rPr>
        <w:t xml:space="preserve">is of the opinion that even when employees are involved in budget participation, it does not automatically leads to commitment on the part of the employee achieving the budget goal since sometimes employees does not show interest in participation and they have to be coerced to participate in the budgeting process.  To the writer, the interest they will not show in the budget participation is based on the belief that budget participation is meant for cost reduction and does not lead to value creation for their departments.  </w:t>
      </w:r>
    </w:p>
    <w:p w14:paraId="11559CCA" w14:textId="77777777" w:rsidR="005E263E" w:rsidRPr="00AA32E1" w:rsidRDefault="005E263E" w:rsidP="005E263E">
      <w:pPr>
        <w:spacing w:after="0" w:line="240" w:lineRule="auto"/>
        <w:ind w:firstLine="567"/>
        <w:jc w:val="both"/>
        <w:rPr>
          <w:rFonts w:ascii="Calibri" w:hAnsi="Calibri" w:cs="Calibri"/>
          <w:sz w:val="24"/>
          <w:szCs w:val="24"/>
        </w:rPr>
      </w:pPr>
      <w:proofErr w:type="gramStart"/>
      <w:r w:rsidRPr="00AA32E1">
        <w:rPr>
          <w:rFonts w:ascii="Calibri" w:hAnsi="Calibri" w:cs="Calibri"/>
          <w:sz w:val="24"/>
          <w:szCs w:val="24"/>
        </w:rPr>
        <w:t>Again</w:t>
      </w:r>
      <w:proofErr w:type="gramEnd"/>
      <w:r w:rsidRPr="00AA32E1">
        <w:rPr>
          <w:rFonts w:ascii="Calibri" w:hAnsi="Calibri" w:cs="Calibri"/>
          <w:sz w:val="24"/>
          <w:szCs w:val="24"/>
        </w:rPr>
        <w:t xml:space="preserve"> from writers such as </w:t>
      </w:r>
      <w:proofErr w:type="spellStart"/>
      <w:r w:rsidRPr="00AA32E1">
        <w:rPr>
          <w:rFonts w:ascii="Calibri" w:hAnsi="Calibri" w:cs="Calibri"/>
          <w:sz w:val="24"/>
          <w:szCs w:val="24"/>
        </w:rPr>
        <w:t>Bognaes</w:t>
      </w:r>
      <w:proofErr w:type="spellEnd"/>
      <w:r w:rsidRPr="00AA32E1">
        <w:rPr>
          <w:rFonts w:ascii="Calibri" w:hAnsi="Calibri" w:cs="Calibri"/>
          <w:sz w:val="24"/>
          <w:szCs w:val="24"/>
        </w:rPr>
        <w:t xml:space="preserve"> (2009), seeing budget participation as playing a crucial role in goal commitment which will impact positively on employees’ performance can be problematic.  To the writer, this can be very difficult to achieve since budget participation can be seen as waste of time achieving no results since employees do not show interest in assignments to which they were not employed for.  If employees have well detailed job description, they tend to pay much attention to those job descriptions and ignore those that are not part.  This means that if budget preparation is not part of their job descriptions, it will be very difficult for them to be committed helping to achieve the goal of the budget.  Looking at the diverse views in relation to budget participation and its role on goal commitment and employees’ performance, one is tempted to set the following hypothesis in relation to budget participation and its role in budget goal clarity, resource distribution fairness, goal commitment and </w:t>
      </w:r>
      <w:proofErr w:type="gramStart"/>
      <w:r w:rsidRPr="00AA32E1">
        <w:rPr>
          <w:rFonts w:ascii="Calibri" w:hAnsi="Calibri" w:cs="Calibri"/>
          <w:sz w:val="24"/>
          <w:szCs w:val="24"/>
        </w:rPr>
        <w:t>employees</w:t>
      </w:r>
      <w:proofErr w:type="gramEnd"/>
      <w:r w:rsidRPr="00AA32E1">
        <w:rPr>
          <w:rFonts w:ascii="Calibri" w:hAnsi="Calibri" w:cs="Calibri"/>
          <w:sz w:val="24"/>
          <w:szCs w:val="24"/>
        </w:rPr>
        <w:t xml:space="preserve"> performance:</w:t>
      </w:r>
    </w:p>
    <w:p w14:paraId="1C6CAFF3" w14:textId="77777777" w:rsidR="005E263E" w:rsidRPr="00AA32E1" w:rsidRDefault="005E263E" w:rsidP="005E263E">
      <w:pPr>
        <w:pStyle w:val="NoSpacing"/>
        <w:ind w:firstLine="567"/>
        <w:jc w:val="both"/>
        <w:rPr>
          <w:rFonts w:cs="Calibri"/>
          <w:i/>
          <w:sz w:val="24"/>
          <w:szCs w:val="24"/>
        </w:rPr>
      </w:pPr>
      <w:r w:rsidRPr="00AA32E1">
        <w:rPr>
          <w:rFonts w:cs="Calibri"/>
          <w:i/>
          <w:sz w:val="24"/>
          <w:szCs w:val="24"/>
        </w:rPr>
        <w:t xml:space="preserve">Ho: Budget participation leads to budget goal clarity, resource distribution fairness, goal commitment and </w:t>
      </w:r>
      <w:proofErr w:type="gramStart"/>
      <w:r w:rsidRPr="00AA32E1">
        <w:rPr>
          <w:rFonts w:cs="Calibri"/>
          <w:i/>
          <w:sz w:val="24"/>
          <w:szCs w:val="24"/>
        </w:rPr>
        <w:t>employees</w:t>
      </w:r>
      <w:proofErr w:type="gramEnd"/>
      <w:r w:rsidRPr="00AA32E1">
        <w:rPr>
          <w:rFonts w:cs="Calibri"/>
          <w:i/>
          <w:sz w:val="24"/>
          <w:szCs w:val="24"/>
        </w:rPr>
        <w:t xml:space="preserve"> performance.</w:t>
      </w:r>
    </w:p>
    <w:p w14:paraId="10A6CA75" w14:textId="77777777" w:rsidR="005E263E" w:rsidRPr="00AA32E1" w:rsidRDefault="005E263E" w:rsidP="005E263E">
      <w:pPr>
        <w:pStyle w:val="NoSpacing"/>
        <w:ind w:firstLine="567"/>
        <w:jc w:val="both"/>
        <w:rPr>
          <w:rFonts w:cs="Calibri"/>
          <w:i/>
          <w:sz w:val="24"/>
          <w:szCs w:val="24"/>
        </w:rPr>
      </w:pPr>
      <w:r w:rsidRPr="00AA32E1">
        <w:rPr>
          <w:rFonts w:cs="Calibri"/>
          <w:i/>
          <w:sz w:val="24"/>
          <w:szCs w:val="24"/>
        </w:rPr>
        <w:t xml:space="preserve">Ha:  Budget participation does not lead to budget goal clarity, resource distribution fairness, goal commitment and </w:t>
      </w:r>
      <w:proofErr w:type="gramStart"/>
      <w:r w:rsidRPr="00AA32E1">
        <w:rPr>
          <w:rFonts w:cs="Calibri"/>
          <w:i/>
          <w:sz w:val="24"/>
          <w:szCs w:val="24"/>
        </w:rPr>
        <w:t>employees</w:t>
      </w:r>
      <w:proofErr w:type="gramEnd"/>
      <w:r w:rsidRPr="00AA32E1">
        <w:rPr>
          <w:rFonts w:cs="Calibri"/>
          <w:i/>
          <w:sz w:val="24"/>
          <w:szCs w:val="24"/>
        </w:rPr>
        <w:t xml:space="preserve"> performance.</w:t>
      </w:r>
    </w:p>
    <w:p w14:paraId="69B1A16D" w14:textId="77777777" w:rsidR="005E263E" w:rsidRPr="00AA32E1" w:rsidRDefault="005E263E" w:rsidP="005E263E">
      <w:pPr>
        <w:pStyle w:val="NoSpacing"/>
        <w:ind w:firstLine="567"/>
        <w:jc w:val="both"/>
        <w:rPr>
          <w:rFonts w:eastAsia="Times New Roman" w:cs="Calibri"/>
          <w:sz w:val="24"/>
          <w:szCs w:val="24"/>
          <w:lang w:eastAsia="en-GB"/>
        </w:rPr>
      </w:pPr>
      <w:r w:rsidRPr="00AA32E1">
        <w:rPr>
          <w:rFonts w:eastAsia="Times New Roman" w:cs="Calibri"/>
          <w:sz w:val="24"/>
          <w:szCs w:val="24"/>
          <w:lang w:eastAsia="en-GB"/>
        </w:rPr>
        <w:t>From the above review of literature from various writers which the hypothesis was generated, statistical techniques were adopted to assess the relationship between the variables.</w:t>
      </w:r>
    </w:p>
    <w:p w14:paraId="5E8AB1E8" w14:textId="77777777" w:rsidR="005E263E" w:rsidRPr="00AA32E1" w:rsidRDefault="005E263E" w:rsidP="005E263E">
      <w:pPr>
        <w:pStyle w:val="NoSpacing"/>
        <w:ind w:firstLine="567"/>
        <w:jc w:val="both"/>
        <w:rPr>
          <w:rFonts w:cs="Calibri"/>
          <w:sz w:val="24"/>
          <w:szCs w:val="24"/>
        </w:rPr>
      </w:pPr>
    </w:p>
    <w:p w14:paraId="09D7ECEC" w14:textId="77777777" w:rsidR="005E263E" w:rsidRPr="00AA32E1" w:rsidRDefault="005E263E" w:rsidP="005E263E">
      <w:pPr>
        <w:pStyle w:val="NoSpacing"/>
        <w:widowControl w:val="0"/>
        <w:tabs>
          <w:tab w:val="left" w:pos="851"/>
        </w:tabs>
        <w:spacing w:after="60"/>
        <w:jc w:val="both"/>
        <w:rPr>
          <w:rFonts w:cs="Calibri"/>
          <w:b/>
          <w:sz w:val="24"/>
          <w:szCs w:val="24"/>
        </w:rPr>
      </w:pPr>
      <w:r w:rsidRPr="00AA32E1">
        <w:rPr>
          <w:rFonts w:cs="Calibri"/>
          <w:b/>
          <w:sz w:val="24"/>
          <w:szCs w:val="24"/>
        </w:rPr>
        <w:t>Methodology of Research</w:t>
      </w:r>
    </w:p>
    <w:p w14:paraId="3BA8D2D5" w14:textId="77777777" w:rsidR="005E263E" w:rsidRPr="00AA32E1" w:rsidRDefault="005E263E" w:rsidP="005E263E">
      <w:pPr>
        <w:pStyle w:val="NoSpacing"/>
        <w:ind w:firstLine="567"/>
        <w:jc w:val="both"/>
        <w:rPr>
          <w:rFonts w:cs="Calibri"/>
          <w:sz w:val="24"/>
          <w:szCs w:val="24"/>
        </w:rPr>
      </w:pPr>
      <w:r w:rsidRPr="00AA32E1">
        <w:rPr>
          <w:rFonts w:cs="Calibri"/>
          <w:sz w:val="24"/>
          <w:szCs w:val="24"/>
        </w:rPr>
        <w:t xml:space="preserve">The study sought to find the relationship among budget participation and employees’ performance in the public universities in Ghana using University of Education as the study area. For the purpose of the study, employees’ performance is linked to their actions helping the organization to achieve the budget goal. The researchers find adopting a single case study appropriate since all the public universities in Ghana is hundred percent owned by the government and because of the government regulation of these public universities adopt similar budgeting system. A multi-analysis and participatory approach </w:t>
      </w:r>
      <w:proofErr w:type="gramStart"/>
      <w:r w:rsidRPr="00AA32E1">
        <w:rPr>
          <w:rFonts w:cs="Calibri"/>
          <w:sz w:val="24"/>
          <w:szCs w:val="24"/>
        </w:rPr>
        <w:t>was</w:t>
      </w:r>
      <w:proofErr w:type="gramEnd"/>
      <w:r w:rsidRPr="00AA32E1">
        <w:rPr>
          <w:rFonts w:cs="Calibri"/>
          <w:sz w:val="24"/>
          <w:szCs w:val="24"/>
        </w:rPr>
        <w:t xml:space="preserve"> adopted throughout the study.  All key stakeholders were involved in the study through intensive and extensive consultations and discussions. A comprehensive review of documentation made by other researchers, governmental organizations and institutions were also conducted.</w:t>
      </w:r>
    </w:p>
    <w:p w14:paraId="6A7DC127" w14:textId="77777777" w:rsidR="005E263E" w:rsidRDefault="005E263E" w:rsidP="005E263E">
      <w:pPr>
        <w:pStyle w:val="NoSpacing"/>
        <w:widowControl w:val="0"/>
        <w:tabs>
          <w:tab w:val="left" w:pos="993"/>
        </w:tabs>
        <w:spacing w:after="60"/>
        <w:jc w:val="both"/>
        <w:rPr>
          <w:rFonts w:cs="Calibri"/>
          <w:sz w:val="24"/>
          <w:szCs w:val="24"/>
        </w:rPr>
      </w:pPr>
    </w:p>
    <w:p w14:paraId="44C99012" w14:textId="2F097D06" w:rsidR="005E263E" w:rsidRPr="00AA32E1" w:rsidRDefault="005E263E" w:rsidP="005E263E">
      <w:pPr>
        <w:pStyle w:val="NoSpacing"/>
        <w:widowControl w:val="0"/>
        <w:tabs>
          <w:tab w:val="left" w:pos="993"/>
        </w:tabs>
        <w:spacing w:after="60"/>
        <w:jc w:val="both"/>
        <w:rPr>
          <w:rFonts w:cs="Calibri"/>
          <w:b/>
          <w:i/>
          <w:sz w:val="24"/>
          <w:szCs w:val="24"/>
        </w:rPr>
      </w:pPr>
      <w:r w:rsidRPr="00AA32E1">
        <w:rPr>
          <w:rFonts w:cs="Calibri"/>
          <w:b/>
          <w:i/>
          <w:sz w:val="24"/>
          <w:szCs w:val="24"/>
        </w:rPr>
        <w:t>The Target Population</w:t>
      </w:r>
    </w:p>
    <w:p w14:paraId="03A8ECDE" w14:textId="77777777" w:rsidR="005E263E" w:rsidRPr="00AA32E1" w:rsidRDefault="005E263E" w:rsidP="005E263E">
      <w:pPr>
        <w:pStyle w:val="NoSpacing"/>
        <w:ind w:firstLine="567"/>
        <w:jc w:val="both"/>
        <w:rPr>
          <w:rFonts w:cs="Calibri"/>
          <w:sz w:val="24"/>
          <w:szCs w:val="24"/>
        </w:rPr>
      </w:pPr>
      <w:r w:rsidRPr="00AA32E1">
        <w:rPr>
          <w:rFonts w:cs="Calibri"/>
          <w:sz w:val="24"/>
          <w:szCs w:val="24"/>
        </w:rPr>
        <w:t xml:space="preserve">The target population for the study involves all members of staff of the university from mainly the Kumasi campus.  This campus has three operational faculties, six teaching departments, and </w:t>
      </w:r>
      <w:proofErr w:type="gramStart"/>
      <w:r w:rsidRPr="00AA32E1">
        <w:rPr>
          <w:rFonts w:cs="Calibri"/>
          <w:sz w:val="24"/>
          <w:szCs w:val="24"/>
        </w:rPr>
        <w:t>twenty nine</w:t>
      </w:r>
      <w:proofErr w:type="gramEnd"/>
      <w:r w:rsidRPr="00AA32E1">
        <w:rPr>
          <w:rFonts w:cs="Calibri"/>
          <w:sz w:val="24"/>
          <w:szCs w:val="24"/>
        </w:rPr>
        <w:t xml:space="preserve"> </w:t>
      </w:r>
      <w:proofErr w:type="spellStart"/>
      <w:r w:rsidRPr="00AA32E1">
        <w:rPr>
          <w:rFonts w:cs="Calibri"/>
          <w:sz w:val="24"/>
          <w:szCs w:val="24"/>
        </w:rPr>
        <w:t>non teaching</w:t>
      </w:r>
      <w:proofErr w:type="spellEnd"/>
      <w:r w:rsidRPr="00AA32E1">
        <w:rPr>
          <w:rFonts w:cs="Calibri"/>
          <w:sz w:val="24"/>
          <w:szCs w:val="24"/>
        </w:rPr>
        <w:t xml:space="preserve"> sections and units. The total number of staff population was three hundred and </w:t>
      </w:r>
      <w:proofErr w:type="gramStart"/>
      <w:r w:rsidRPr="00AA32E1">
        <w:rPr>
          <w:rFonts w:cs="Calibri"/>
          <w:sz w:val="24"/>
          <w:szCs w:val="24"/>
        </w:rPr>
        <w:t>forty two</w:t>
      </w:r>
      <w:proofErr w:type="gramEnd"/>
      <w:r w:rsidRPr="00AA32E1">
        <w:rPr>
          <w:rFonts w:cs="Calibri"/>
          <w:sz w:val="24"/>
          <w:szCs w:val="24"/>
        </w:rPr>
        <w:t xml:space="preserve"> (342) as at June 2013. The members of staff comprised three (3) deans, six (6) heads of teaching departments, ten (10) heads of non-</w:t>
      </w:r>
      <w:r w:rsidRPr="00AA32E1">
        <w:rPr>
          <w:rFonts w:cs="Calibri"/>
          <w:sz w:val="24"/>
          <w:szCs w:val="24"/>
        </w:rPr>
        <w:lastRenderedPageBreak/>
        <w:t xml:space="preserve">teaching departments and </w:t>
      </w:r>
      <w:proofErr w:type="gramStart"/>
      <w:r w:rsidRPr="00AA32E1">
        <w:rPr>
          <w:rFonts w:cs="Calibri"/>
          <w:sz w:val="24"/>
          <w:szCs w:val="24"/>
        </w:rPr>
        <w:t>twenty five</w:t>
      </w:r>
      <w:proofErr w:type="gramEnd"/>
      <w:r w:rsidRPr="00AA32E1">
        <w:rPr>
          <w:rFonts w:cs="Calibri"/>
          <w:sz w:val="24"/>
          <w:szCs w:val="24"/>
        </w:rPr>
        <w:t xml:space="preserve"> (25) </w:t>
      </w:r>
      <w:proofErr w:type="spellStart"/>
      <w:r w:rsidRPr="00AA32E1">
        <w:rPr>
          <w:rFonts w:cs="Calibri"/>
          <w:sz w:val="24"/>
          <w:szCs w:val="24"/>
        </w:rPr>
        <w:t>non academic</w:t>
      </w:r>
      <w:proofErr w:type="spellEnd"/>
      <w:r w:rsidRPr="00AA32E1">
        <w:rPr>
          <w:rFonts w:cs="Calibri"/>
          <w:sz w:val="24"/>
          <w:szCs w:val="24"/>
        </w:rPr>
        <w:t xml:space="preserve"> section and units. Two hundred and </w:t>
      </w:r>
      <w:proofErr w:type="gramStart"/>
      <w:r w:rsidRPr="00AA32E1">
        <w:rPr>
          <w:rFonts w:cs="Calibri"/>
          <w:sz w:val="24"/>
          <w:szCs w:val="24"/>
        </w:rPr>
        <w:t>ninety eight</w:t>
      </w:r>
      <w:proofErr w:type="gramEnd"/>
      <w:r w:rsidRPr="00AA32E1">
        <w:rPr>
          <w:rFonts w:cs="Calibri"/>
          <w:sz w:val="24"/>
          <w:szCs w:val="24"/>
        </w:rPr>
        <w:t xml:space="preserve"> (298) employees are supporting staff made up of lecturers and administrators. </w:t>
      </w:r>
    </w:p>
    <w:p w14:paraId="3A593FAA" w14:textId="77777777" w:rsidR="005E263E" w:rsidRDefault="005E263E" w:rsidP="005E263E">
      <w:pPr>
        <w:pStyle w:val="NoSpacing"/>
        <w:spacing w:after="60"/>
        <w:jc w:val="both"/>
        <w:rPr>
          <w:rFonts w:cs="Calibri"/>
          <w:b/>
          <w:i/>
          <w:sz w:val="24"/>
          <w:szCs w:val="24"/>
        </w:rPr>
      </w:pPr>
    </w:p>
    <w:p w14:paraId="75FF31FA" w14:textId="5DA6B55D" w:rsidR="005E263E" w:rsidRPr="00AA32E1" w:rsidRDefault="005E263E" w:rsidP="005E263E">
      <w:pPr>
        <w:pStyle w:val="NoSpacing"/>
        <w:spacing w:after="60"/>
        <w:jc w:val="both"/>
        <w:rPr>
          <w:rFonts w:cs="Calibri"/>
          <w:b/>
          <w:i/>
          <w:sz w:val="24"/>
          <w:szCs w:val="24"/>
        </w:rPr>
      </w:pPr>
      <w:r w:rsidRPr="00AA32E1">
        <w:rPr>
          <w:rFonts w:cs="Calibri"/>
          <w:b/>
          <w:i/>
          <w:sz w:val="24"/>
          <w:szCs w:val="24"/>
        </w:rPr>
        <w:t>Sampling Selection</w:t>
      </w:r>
    </w:p>
    <w:p w14:paraId="5A2D3E1B" w14:textId="77777777" w:rsidR="005E263E" w:rsidRPr="00AA32E1" w:rsidRDefault="005E263E" w:rsidP="005E263E">
      <w:pPr>
        <w:pStyle w:val="NoSpacing"/>
        <w:ind w:firstLine="567"/>
        <w:jc w:val="both"/>
        <w:rPr>
          <w:rFonts w:cs="Calibri"/>
          <w:sz w:val="24"/>
          <w:szCs w:val="24"/>
        </w:rPr>
      </w:pPr>
      <w:r w:rsidRPr="00AA32E1">
        <w:rPr>
          <w:rFonts w:cs="Calibri"/>
          <w:sz w:val="24"/>
          <w:szCs w:val="24"/>
        </w:rPr>
        <w:t xml:space="preserve">The sampling technique used was convenience as well as simple random. In all a total sample size of one hundred and ten were chosen, comprising of three Deans, sixteen Heads of Department, </w:t>
      </w:r>
      <w:proofErr w:type="gramStart"/>
      <w:r w:rsidRPr="00AA32E1">
        <w:rPr>
          <w:rFonts w:cs="Calibri"/>
          <w:sz w:val="24"/>
          <w:szCs w:val="24"/>
        </w:rPr>
        <w:t>twenty five</w:t>
      </w:r>
      <w:proofErr w:type="gramEnd"/>
      <w:r w:rsidRPr="00AA32E1">
        <w:rPr>
          <w:rFonts w:cs="Calibri"/>
          <w:sz w:val="24"/>
          <w:szCs w:val="24"/>
        </w:rPr>
        <w:t xml:space="preserve"> Coordinators and sixty six supporting Staff. The Deans, Heads of department and Coordinators were selected using convenience sampling technique based on their availability whilst the other staffs were selected using simple random sampling method. In doing this, all the names of the supporting staff were obtained from the Human Resource Section of the university and in a lottery form, </w:t>
      </w:r>
      <w:proofErr w:type="gramStart"/>
      <w:r w:rsidRPr="00AA32E1">
        <w:rPr>
          <w:rFonts w:cs="Calibri"/>
          <w:sz w:val="24"/>
          <w:szCs w:val="24"/>
        </w:rPr>
        <w:t>sixty six</w:t>
      </w:r>
      <w:proofErr w:type="gramEnd"/>
      <w:r w:rsidRPr="00AA32E1">
        <w:rPr>
          <w:rFonts w:cs="Calibri"/>
          <w:sz w:val="24"/>
          <w:szCs w:val="24"/>
        </w:rPr>
        <w:t xml:space="preserve"> employees were selected. The researchers from there contacted the selected employees by visiting their departments and had discussions with them by declaring the intention of the researchers.  The selection of Deans, Heads of Department and Coordinators were based on the fact that they are spending officers and also in charge of their respective responsibility </w:t>
      </w:r>
      <w:proofErr w:type="spellStart"/>
      <w:r w:rsidRPr="00AA32E1">
        <w:rPr>
          <w:rFonts w:cs="Calibri"/>
          <w:sz w:val="24"/>
          <w:szCs w:val="24"/>
        </w:rPr>
        <w:t>centres</w:t>
      </w:r>
      <w:proofErr w:type="spellEnd"/>
      <w:r w:rsidRPr="00AA32E1">
        <w:rPr>
          <w:rFonts w:cs="Calibri"/>
          <w:sz w:val="24"/>
          <w:szCs w:val="24"/>
        </w:rPr>
        <w:t xml:space="preserve"> and thus operate a separate budget. They occupy key positions and are involved in outlaying funds for the purposes of achieving the organizational goals. The other staffs were employees of faculties, departments and units who assist Deans, Heads of Department and Coordinators in the pursuit of their operational goals. For 110 questionnaires distributed, the researchers were able to retrieve 69 representing 67.2% of the response rate.  In fact, Table 1 shows the distribution and response rate.</w:t>
      </w:r>
    </w:p>
    <w:p w14:paraId="16BBF0F6" w14:textId="77777777" w:rsidR="005E263E" w:rsidRDefault="005E263E" w:rsidP="005E263E">
      <w:pPr>
        <w:keepNext/>
        <w:spacing w:after="0" w:line="240" w:lineRule="auto"/>
        <w:contextualSpacing/>
        <w:jc w:val="both"/>
        <w:rPr>
          <w:rFonts w:ascii="Calibri" w:hAnsi="Calibri" w:cs="Calibri"/>
          <w:i/>
          <w:sz w:val="24"/>
          <w:szCs w:val="24"/>
        </w:rPr>
      </w:pPr>
    </w:p>
    <w:p w14:paraId="78AF769B" w14:textId="77777777" w:rsidR="005E263E" w:rsidRPr="005E263E" w:rsidRDefault="005E263E" w:rsidP="005E263E">
      <w:pPr>
        <w:keepNext/>
        <w:spacing w:after="0" w:line="240" w:lineRule="auto"/>
        <w:contextualSpacing/>
        <w:jc w:val="both"/>
        <w:rPr>
          <w:rFonts w:ascii="Calibri" w:hAnsi="Calibri" w:cs="Calibri"/>
          <w:iCs/>
          <w:sz w:val="24"/>
          <w:szCs w:val="24"/>
        </w:rPr>
      </w:pPr>
      <w:r w:rsidRPr="005E263E">
        <w:rPr>
          <w:rFonts w:ascii="Calibri" w:hAnsi="Calibri" w:cs="Calibri"/>
          <w:iCs/>
          <w:sz w:val="24"/>
          <w:szCs w:val="24"/>
        </w:rPr>
        <w:t>Table 1</w:t>
      </w:r>
    </w:p>
    <w:p w14:paraId="14B46D26" w14:textId="7E661343" w:rsidR="005E263E" w:rsidRPr="005E263E" w:rsidRDefault="005E263E" w:rsidP="005E263E">
      <w:pPr>
        <w:keepNext/>
        <w:spacing w:after="0" w:line="240" w:lineRule="auto"/>
        <w:contextualSpacing/>
        <w:jc w:val="both"/>
        <w:rPr>
          <w:rFonts w:ascii="Calibri" w:hAnsi="Calibri" w:cs="Calibri"/>
          <w:i/>
          <w:iCs/>
          <w:sz w:val="24"/>
          <w:szCs w:val="24"/>
        </w:rPr>
      </w:pPr>
      <w:r w:rsidRPr="005E263E">
        <w:rPr>
          <w:rFonts w:ascii="Calibri" w:hAnsi="Calibri" w:cs="Calibri"/>
          <w:i/>
          <w:iCs/>
          <w:sz w:val="24"/>
          <w:szCs w:val="24"/>
        </w:rPr>
        <w:t>Distribution and response of questionnaires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2685"/>
        <w:gridCol w:w="2782"/>
        <w:gridCol w:w="2878"/>
      </w:tblGrid>
      <w:tr w:rsidR="005E263E" w:rsidRPr="00AA32E1" w14:paraId="1BC84E7E" w14:textId="77777777" w:rsidTr="005E263E">
        <w:trPr>
          <w:jc w:val="center"/>
        </w:trPr>
        <w:tc>
          <w:tcPr>
            <w:tcW w:w="372" w:type="pct"/>
          </w:tcPr>
          <w:p w14:paraId="7750E605" w14:textId="77777777" w:rsidR="005E263E" w:rsidRPr="00AA32E1" w:rsidRDefault="005E263E" w:rsidP="00D25C9C">
            <w:pPr>
              <w:keepNext/>
              <w:tabs>
                <w:tab w:val="center" w:pos="4680"/>
                <w:tab w:val="right" w:pos="9360"/>
              </w:tabs>
              <w:spacing w:after="0" w:line="240" w:lineRule="auto"/>
              <w:jc w:val="both"/>
              <w:rPr>
                <w:rFonts w:ascii="Calibri" w:hAnsi="Calibri" w:cs="Calibri"/>
                <w:b/>
                <w:sz w:val="24"/>
                <w:szCs w:val="24"/>
              </w:rPr>
            </w:pPr>
            <w:r w:rsidRPr="00AA32E1">
              <w:rPr>
                <w:rFonts w:ascii="Calibri" w:hAnsi="Calibri" w:cs="Calibri"/>
                <w:b/>
                <w:sz w:val="24"/>
                <w:szCs w:val="24"/>
              </w:rPr>
              <w:t>S/N</w:t>
            </w:r>
          </w:p>
        </w:tc>
        <w:tc>
          <w:tcPr>
            <w:tcW w:w="1489" w:type="pct"/>
          </w:tcPr>
          <w:p w14:paraId="759549E5" w14:textId="77777777" w:rsidR="005E263E" w:rsidRPr="00AA32E1" w:rsidRDefault="005E263E" w:rsidP="00D25C9C">
            <w:pPr>
              <w:keepNext/>
              <w:tabs>
                <w:tab w:val="center" w:pos="4680"/>
                <w:tab w:val="right" w:pos="9360"/>
              </w:tabs>
              <w:spacing w:after="0" w:line="240" w:lineRule="auto"/>
              <w:jc w:val="both"/>
              <w:rPr>
                <w:rFonts w:ascii="Calibri" w:hAnsi="Calibri" w:cs="Calibri"/>
                <w:b/>
                <w:sz w:val="24"/>
                <w:szCs w:val="24"/>
              </w:rPr>
            </w:pPr>
            <w:r w:rsidRPr="00AA32E1">
              <w:rPr>
                <w:rFonts w:ascii="Calibri" w:hAnsi="Calibri" w:cs="Calibri"/>
                <w:b/>
                <w:sz w:val="24"/>
                <w:szCs w:val="24"/>
              </w:rPr>
              <w:t>Staff category</w:t>
            </w:r>
          </w:p>
        </w:tc>
        <w:tc>
          <w:tcPr>
            <w:tcW w:w="1543" w:type="pct"/>
          </w:tcPr>
          <w:p w14:paraId="7B40CE99" w14:textId="77777777" w:rsidR="005E263E" w:rsidRPr="00AA32E1" w:rsidRDefault="005E263E" w:rsidP="00D25C9C">
            <w:pPr>
              <w:keepNext/>
              <w:tabs>
                <w:tab w:val="center" w:pos="4680"/>
                <w:tab w:val="right" w:pos="9360"/>
              </w:tabs>
              <w:spacing w:after="0" w:line="240" w:lineRule="auto"/>
              <w:jc w:val="both"/>
              <w:rPr>
                <w:rFonts w:ascii="Calibri" w:hAnsi="Calibri" w:cs="Calibri"/>
                <w:b/>
                <w:sz w:val="24"/>
                <w:szCs w:val="24"/>
              </w:rPr>
            </w:pPr>
            <w:r w:rsidRPr="00AA32E1">
              <w:rPr>
                <w:rFonts w:ascii="Calibri" w:hAnsi="Calibri" w:cs="Calibri"/>
                <w:b/>
                <w:sz w:val="24"/>
                <w:szCs w:val="24"/>
              </w:rPr>
              <w:t>Expected Respondents</w:t>
            </w:r>
          </w:p>
        </w:tc>
        <w:tc>
          <w:tcPr>
            <w:tcW w:w="1596" w:type="pct"/>
          </w:tcPr>
          <w:p w14:paraId="0042BFE4" w14:textId="77777777" w:rsidR="005E263E" w:rsidRPr="00AA32E1" w:rsidRDefault="005E263E" w:rsidP="00D25C9C">
            <w:pPr>
              <w:keepNext/>
              <w:tabs>
                <w:tab w:val="center" w:pos="4680"/>
                <w:tab w:val="right" w:pos="9360"/>
              </w:tabs>
              <w:spacing w:after="0" w:line="240" w:lineRule="auto"/>
              <w:jc w:val="both"/>
              <w:rPr>
                <w:rFonts w:ascii="Calibri" w:hAnsi="Calibri" w:cs="Calibri"/>
                <w:b/>
                <w:sz w:val="24"/>
                <w:szCs w:val="24"/>
              </w:rPr>
            </w:pPr>
            <w:r w:rsidRPr="00AA32E1">
              <w:rPr>
                <w:rFonts w:ascii="Calibri" w:hAnsi="Calibri" w:cs="Calibri"/>
                <w:b/>
                <w:sz w:val="24"/>
                <w:szCs w:val="24"/>
              </w:rPr>
              <w:t>Actual Respondents</w:t>
            </w:r>
          </w:p>
        </w:tc>
      </w:tr>
      <w:tr w:rsidR="005E263E" w:rsidRPr="00AA32E1" w14:paraId="048A4293" w14:textId="77777777" w:rsidTr="005E263E">
        <w:trPr>
          <w:jc w:val="center"/>
        </w:trPr>
        <w:tc>
          <w:tcPr>
            <w:tcW w:w="372" w:type="pct"/>
          </w:tcPr>
          <w:p w14:paraId="6E78083F"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1</w:t>
            </w:r>
          </w:p>
        </w:tc>
        <w:tc>
          <w:tcPr>
            <w:tcW w:w="1489" w:type="pct"/>
          </w:tcPr>
          <w:p w14:paraId="0DE14443"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Deans</w:t>
            </w:r>
          </w:p>
        </w:tc>
        <w:tc>
          <w:tcPr>
            <w:tcW w:w="1543" w:type="pct"/>
          </w:tcPr>
          <w:p w14:paraId="16047D0F"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3</w:t>
            </w:r>
          </w:p>
        </w:tc>
        <w:tc>
          <w:tcPr>
            <w:tcW w:w="1596" w:type="pct"/>
          </w:tcPr>
          <w:p w14:paraId="453E5D33"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2</w:t>
            </w:r>
          </w:p>
        </w:tc>
      </w:tr>
      <w:tr w:rsidR="005E263E" w:rsidRPr="00AA32E1" w14:paraId="641C607A" w14:textId="77777777" w:rsidTr="005E263E">
        <w:trPr>
          <w:jc w:val="center"/>
        </w:trPr>
        <w:tc>
          <w:tcPr>
            <w:tcW w:w="372" w:type="pct"/>
          </w:tcPr>
          <w:p w14:paraId="4728BB19"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2</w:t>
            </w:r>
          </w:p>
        </w:tc>
        <w:tc>
          <w:tcPr>
            <w:tcW w:w="1489" w:type="pct"/>
          </w:tcPr>
          <w:p w14:paraId="009E82AE"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Heads of Departments</w:t>
            </w:r>
          </w:p>
        </w:tc>
        <w:tc>
          <w:tcPr>
            <w:tcW w:w="1543" w:type="pct"/>
          </w:tcPr>
          <w:p w14:paraId="5C080375"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16</w:t>
            </w:r>
          </w:p>
        </w:tc>
        <w:tc>
          <w:tcPr>
            <w:tcW w:w="1596" w:type="pct"/>
          </w:tcPr>
          <w:p w14:paraId="3A798CD3"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11</w:t>
            </w:r>
          </w:p>
        </w:tc>
      </w:tr>
      <w:tr w:rsidR="005E263E" w:rsidRPr="00AA32E1" w14:paraId="053086B0" w14:textId="77777777" w:rsidTr="005E263E">
        <w:trPr>
          <w:jc w:val="center"/>
        </w:trPr>
        <w:tc>
          <w:tcPr>
            <w:tcW w:w="372" w:type="pct"/>
          </w:tcPr>
          <w:p w14:paraId="2FAE22C1"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4</w:t>
            </w:r>
          </w:p>
        </w:tc>
        <w:tc>
          <w:tcPr>
            <w:tcW w:w="1489" w:type="pct"/>
          </w:tcPr>
          <w:p w14:paraId="4678184F"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Heads of Units</w:t>
            </w:r>
          </w:p>
        </w:tc>
        <w:tc>
          <w:tcPr>
            <w:tcW w:w="1543" w:type="pct"/>
          </w:tcPr>
          <w:p w14:paraId="08497282"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25</w:t>
            </w:r>
          </w:p>
        </w:tc>
        <w:tc>
          <w:tcPr>
            <w:tcW w:w="1596" w:type="pct"/>
          </w:tcPr>
          <w:p w14:paraId="04BA969C"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24</w:t>
            </w:r>
          </w:p>
        </w:tc>
      </w:tr>
      <w:tr w:rsidR="005E263E" w:rsidRPr="00AA32E1" w14:paraId="0D5D2D81" w14:textId="77777777" w:rsidTr="005E263E">
        <w:trPr>
          <w:jc w:val="center"/>
        </w:trPr>
        <w:tc>
          <w:tcPr>
            <w:tcW w:w="372" w:type="pct"/>
          </w:tcPr>
          <w:p w14:paraId="31ABC144"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5</w:t>
            </w:r>
          </w:p>
        </w:tc>
        <w:tc>
          <w:tcPr>
            <w:tcW w:w="1489" w:type="pct"/>
          </w:tcPr>
          <w:p w14:paraId="25221171"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Other supporting staff</w:t>
            </w:r>
          </w:p>
        </w:tc>
        <w:tc>
          <w:tcPr>
            <w:tcW w:w="1543" w:type="pct"/>
          </w:tcPr>
          <w:p w14:paraId="2703D752"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66</w:t>
            </w:r>
          </w:p>
        </w:tc>
        <w:tc>
          <w:tcPr>
            <w:tcW w:w="1596" w:type="pct"/>
          </w:tcPr>
          <w:p w14:paraId="59683244"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30</w:t>
            </w:r>
          </w:p>
        </w:tc>
      </w:tr>
      <w:tr w:rsidR="005E263E" w:rsidRPr="00AA32E1" w14:paraId="1B291C7C" w14:textId="77777777" w:rsidTr="005E263E">
        <w:trPr>
          <w:jc w:val="center"/>
        </w:trPr>
        <w:tc>
          <w:tcPr>
            <w:tcW w:w="372" w:type="pct"/>
          </w:tcPr>
          <w:p w14:paraId="4AA75653"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p>
        </w:tc>
        <w:tc>
          <w:tcPr>
            <w:tcW w:w="1489" w:type="pct"/>
          </w:tcPr>
          <w:p w14:paraId="10A78B4B"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Total</w:t>
            </w:r>
          </w:p>
        </w:tc>
        <w:tc>
          <w:tcPr>
            <w:tcW w:w="1543" w:type="pct"/>
          </w:tcPr>
          <w:p w14:paraId="06976742"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110</w:t>
            </w:r>
          </w:p>
        </w:tc>
        <w:tc>
          <w:tcPr>
            <w:tcW w:w="1596" w:type="pct"/>
          </w:tcPr>
          <w:p w14:paraId="79610C7D" w14:textId="77777777" w:rsidR="005E263E" w:rsidRPr="00AA32E1" w:rsidRDefault="005E263E" w:rsidP="00D25C9C">
            <w:pPr>
              <w:keepNext/>
              <w:tabs>
                <w:tab w:val="center" w:pos="4680"/>
                <w:tab w:val="right" w:pos="9360"/>
              </w:tabs>
              <w:spacing w:after="0" w:line="240" w:lineRule="auto"/>
              <w:jc w:val="both"/>
              <w:rPr>
                <w:rFonts w:ascii="Calibri" w:hAnsi="Calibri" w:cs="Calibri"/>
                <w:sz w:val="24"/>
                <w:szCs w:val="24"/>
              </w:rPr>
            </w:pPr>
            <w:r w:rsidRPr="00AA32E1">
              <w:rPr>
                <w:rFonts w:ascii="Calibri" w:hAnsi="Calibri" w:cs="Calibri"/>
                <w:sz w:val="24"/>
                <w:szCs w:val="24"/>
              </w:rPr>
              <w:t>69</w:t>
            </w:r>
          </w:p>
        </w:tc>
      </w:tr>
    </w:tbl>
    <w:p w14:paraId="13368B4E" w14:textId="77777777" w:rsidR="005E263E" w:rsidRPr="00AA32E1" w:rsidRDefault="005E263E" w:rsidP="005E263E">
      <w:pPr>
        <w:pStyle w:val="NoSpacing"/>
        <w:jc w:val="both"/>
        <w:rPr>
          <w:rFonts w:cs="Calibri"/>
          <w:sz w:val="24"/>
          <w:szCs w:val="24"/>
        </w:rPr>
      </w:pPr>
    </w:p>
    <w:p w14:paraId="2E8AE30A" w14:textId="47121CE3" w:rsidR="005E263E" w:rsidRPr="00AA32E1" w:rsidRDefault="005E263E" w:rsidP="005E263E">
      <w:pPr>
        <w:pStyle w:val="NoSpacing"/>
        <w:tabs>
          <w:tab w:val="left" w:pos="993"/>
        </w:tabs>
        <w:spacing w:after="60"/>
        <w:jc w:val="both"/>
        <w:rPr>
          <w:rFonts w:cs="Calibri"/>
          <w:b/>
          <w:i/>
          <w:sz w:val="24"/>
          <w:szCs w:val="24"/>
        </w:rPr>
      </w:pPr>
      <w:r w:rsidRPr="00AA32E1">
        <w:rPr>
          <w:rFonts w:cs="Calibri"/>
          <w:b/>
          <w:i/>
          <w:sz w:val="24"/>
          <w:szCs w:val="24"/>
        </w:rPr>
        <w:t>Data Collection Instruments</w:t>
      </w:r>
    </w:p>
    <w:p w14:paraId="2134B6D9" w14:textId="77777777" w:rsidR="005E263E" w:rsidRPr="00AA32E1" w:rsidRDefault="005E263E" w:rsidP="005E263E">
      <w:pPr>
        <w:keepNext/>
        <w:spacing w:after="0" w:line="240" w:lineRule="auto"/>
        <w:ind w:firstLine="567"/>
        <w:contextualSpacing/>
        <w:jc w:val="both"/>
        <w:rPr>
          <w:rFonts w:ascii="Calibri" w:hAnsi="Calibri" w:cs="Calibri"/>
          <w:sz w:val="24"/>
          <w:szCs w:val="24"/>
        </w:rPr>
      </w:pPr>
      <w:r w:rsidRPr="00AA32E1">
        <w:rPr>
          <w:rFonts w:ascii="Calibri" w:hAnsi="Calibri" w:cs="Calibri"/>
          <w:sz w:val="24"/>
          <w:szCs w:val="24"/>
        </w:rPr>
        <w:t xml:space="preserve">Data were collected by administering structured questionnaires using Likert-type response scaling. The survey questionnaire consisted of three main parts to shed light in the general information regarding the respondents’ characteristics and other factors intended to be studied. All the questions were closed ended. Part one of the questionnaire focuses on personality variables such as position, qualification, budget experience, experience earned in the university, department, age and gender.  Part two aimed to survey </w:t>
      </w:r>
      <w:proofErr w:type="spellStart"/>
      <w:r w:rsidRPr="00AA32E1">
        <w:rPr>
          <w:rFonts w:ascii="Calibri" w:hAnsi="Calibri" w:cs="Calibri"/>
          <w:sz w:val="24"/>
          <w:szCs w:val="24"/>
        </w:rPr>
        <w:t>behavioural</w:t>
      </w:r>
      <w:proofErr w:type="spellEnd"/>
      <w:r w:rsidRPr="00AA32E1">
        <w:rPr>
          <w:rFonts w:ascii="Calibri" w:hAnsi="Calibri" w:cs="Calibri"/>
          <w:sz w:val="24"/>
          <w:szCs w:val="24"/>
        </w:rPr>
        <w:t xml:space="preserve"> element of budgeting such as participation, goal clarity, resource distribution fairness, goal commitment and employees’ performance. It consisted of 33 instruments distributed to four groups of questions using </w:t>
      </w:r>
      <w:proofErr w:type="gramStart"/>
      <w:r w:rsidRPr="00AA32E1">
        <w:rPr>
          <w:rFonts w:ascii="Calibri" w:hAnsi="Calibri" w:cs="Calibri"/>
          <w:sz w:val="24"/>
          <w:szCs w:val="24"/>
        </w:rPr>
        <w:t>five point</w:t>
      </w:r>
      <w:proofErr w:type="gramEnd"/>
      <w:r w:rsidRPr="00AA32E1">
        <w:rPr>
          <w:rFonts w:ascii="Calibri" w:hAnsi="Calibri" w:cs="Calibri"/>
          <w:sz w:val="24"/>
          <w:szCs w:val="24"/>
        </w:rPr>
        <w:t xml:space="preserve"> Likert scale. These instruments are for budget participation, (11 instruments); budget goal clarity, (7 instruments); distributive fairness, (7 instruments); procedural fairness, (8 instruments). Part three consisted of 25 instruments distributed to two groups of questions using </w:t>
      </w:r>
      <w:proofErr w:type="gramStart"/>
      <w:r w:rsidRPr="00AA32E1">
        <w:rPr>
          <w:rFonts w:ascii="Calibri" w:hAnsi="Calibri" w:cs="Calibri"/>
          <w:sz w:val="24"/>
          <w:szCs w:val="24"/>
        </w:rPr>
        <w:t>five point</w:t>
      </w:r>
      <w:proofErr w:type="gramEnd"/>
      <w:r w:rsidRPr="00AA32E1">
        <w:rPr>
          <w:rFonts w:ascii="Calibri" w:hAnsi="Calibri" w:cs="Calibri"/>
          <w:sz w:val="24"/>
          <w:szCs w:val="24"/>
        </w:rPr>
        <w:t xml:space="preserve"> Likert scale. These instruments are for employee performance, (15 instruments); and Corporate Goal commitment, (10 </w:t>
      </w:r>
      <w:r w:rsidRPr="00AA32E1">
        <w:rPr>
          <w:rFonts w:ascii="Calibri" w:hAnsi="Calibri" w:cs="Calibri"/>
          <w:sz w:val="24"/>
          <w:szCs w:val="24"/>
        </w:rPr>
        <w:lastRenderedPageBreak/>
        <w:t xml:space="preserve">instruments). This part helped the researchers to obtain information on performance and commitment to the University’s Strategic Plan. </w:t>
      </w:r>
    </w:p>
    <w:p w14:paraId="7E576FDB" w14:textId="77777777" w:rsidR="005E263E" w:rsidRPr="00AA32E1" w:rsidRDefault="005E263E" w:rsidP="005E263E">
      <w:pPr>
        <w:keepNext/>
        <w:spacing w:after="0" w:line="240" w:lineRule="auto"/>
        <w:ind w:firstLine="567"/>
        <w:jc w:val="both"/>
        <w:rPr>
          <w:rFonts w:ascii="Calibri" w:hAnsi="Calibri" w:cs="Calibri"/>
          <w:sz w:val="24"/>
          <w:szCs w:val="24"/>
        </w:rPr>
      </w:pPr>
    </w:p>
    <w:p w14:paraId="7B6B1A45" w14:textId="1626198D" w:rsidR="005E263E" w:rsidRPr="00AA32E1" w:rsidRDefault="005E263E" w:rsidP="000905AA">
      <w:pPr>
        <w:keepNext/>
        <w:spacing w:after="60" w:line="240" w:lineRule="auto"/>
        <w:jc w:val="both"/>
        <w:rPr>
          <w:rFonts w:ascii="Calibri" w:hAnsi="Calibri" w:cs="Calibri"/>
          <w:b/>
          <w:i/>
          <w:sz w:val="24"/>
          <w:szCs w:val="24"/>
        </w:rPr>
      </w:pPr>
      <w:r w:rsidRPr="00AA32E1">
        <w:rPr>
          <w:rFonts w:ascii="Calibri" w:hAnsi="Calibri" w:cs="Calibri"/>
          <w:b/>
          <w:i/>
          <w:sz w:val="24"/>
          <w:szCs w:val="24"/>
        </w:rPr>
        <w:t xml:space="preserve">Measurement of </w:t>
      </w:r>
      <w:r w:rsidR="000905AA" w:rsidRPr="00AA32E1">
        <w:rPr>
          <w:rFonts w:ascii="Calibri" w:hAnsi="Calibri" w:cs="Calibri"/>
          <w:b/>
          <w:i/>
          <w:sz w:val="24"/>
          <w:szCs w:val="24"/>
        </w:rPr>
        <w:t>Variables</w:t>
      </w:r>
    </w:p>
    <w:p w14:paraId="56DBB0B1" w14:textId="77777777" w:rsidR="005E263E" w:rsidRPr="00AA32E1" w:rsidRDefault="005E263E" w:rsidP="000905AA">
      <w:pPr>
        <w:keepNext/>
        <w:spacing w:after="0" w:line="240" w:lineRule="auto"/>
        <w:jc w:val="both"/>
        <w:rPr>
          <w:rFonts w:ascii="Calibri" w:hAnsi="Calibri" w:cs="Calibri"/>
          <w:sz w:val="24"/>
          <w:szCs w:val="24"/>
        </w:rPr>
      </w:pPr>
      <w:r w:rsidRPr="00AA32E1">
        <w:rPr>
          <w:rFonts w:ascii="Calibri" w:hAnsi="Calibri" w:cs="Calibri"/>
          <w:sz w:val="24"/>
          <w:szCs w:val="24"/>
        </w:rPr>
        <w:t>The variables used for the study were measured as follows:</w:t>
      </w:r>
    </w:p>
    <w:p w14:paraId="4516583B"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i/>
          <w:sz w:val="24"/>
          <w:szCs w:val="24"/>
        </w:rPr>
        <w:t>Budget participation</w:t>
      </w:r>
      <w:r w:rsidRPr="00AA32E1">
        <w:rPr>
          <w:rFonts w:ascii="Calibri" w:hAnsi="Calibri" w:cs="Calibri"/>
          <w:sz w:val="24"/>
          <w:szCs w:val="24"/>
        </w:rPr>
        <w:t>:</w:t>
      </w:r>
      <w:r w:rsidRPr="00AA32E1">
        <w:rPr>
          <w:rFonts w:ascii="Calibri" w:hAnsi="Calibri" w:cs="Calibri"/>
          <w:b/>
          <w:sz w:val="24"/>
          <w:szCs w:val="24"/>
        </w:rPr>
        <w:t xml:space="preserve"> </w:t>
      </w:r>
      <w:r w:rsidRPr="00AA32E1">
        <w:rPr>
          <w:rFonts w:ascii="Calibri" w:hAnsi="Calibri" w:cs="Calibri"/>
          <w:sz w:val="24"/>
          <w:szCs w:val="24"/>
        </w:rPr>
        <w:t>This was measured using instruments developed by Milani (1975) based on a 5-point Likert-scale. The instruments were each coded from BPI to BP11.  A reliability check of the instrument for the study revealed a Cronbach alpha of 0.834, which shows that the measure is reliable.</w:t>
      </w:r>
    </w:p>
    <w:p w14:paraId="0543B8C9"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i/>
          <w:sz w:val="24"/>
          <w:szCs w:val="24"/>
        </w:rPr>
        <w:t>Budget Goal Clarity:</w:t>
      </w:r>
      <w:r w:rsidRPr="00AA32E1">
        <w:rPr>
          <w:rFonts w:ascii="Calibri" w:hAnsi="Calibri" w:cs="Calibri"/>
          <w:b/>
          <w:sz w:val="24"/>
          <w:szCs w:val="24"/>
        </w:rPr>
        <w:t xml:space="preserve"> </w:t>
      </w:r>
      <w:r w:rsidRPr="00AA32E1">
        <w:rPr>
          <w:rFonts w:ascii="Calibri" w:hAnsi="Calibri" w:cs="Calibri"/>
          <w:sz w:val="24"/>
          <w:szCs w:val="24"/>
        </w:rPr>
        <w:t xml:space="preserve">This was measured in this study by adopting a modified version of six-item scale used in the study of Shields &amp; Shields (1998) as well as Nouri &amp; </w:t>
      </w:r>
      <w:proofErr w:type="spellStart"/>
      <w:r w:rsidRPr="00AA32E1">
        <w:rPr>
          <w:rFonts w:ascii="Calibri" w:hAnsi="Calibri" w:cs="Calibri"/>
          <w:sz w:val="24"/>
          <w:szCs w:val="24"/>
        </w:rPr>
        <w:t>Kyj</w:t>
      </w:r>
      <w:proofErr w:type="spellEnd"/>
      <w:r w:rsidRPr="00AA32E1">
        <w:rPr>
          <w:rFonts w:ascii="Calibri" w:hAnsi="Calibri" w:cs="Calibri"/>
          <w:sz w:val="24"/>
          <w:szCs w:val="24"/>
        </w:rPr>
        <w:t xml:space="preserve">, (2008). Participants were asked to respond to each item in the instrument which was coded BGC1 to BGC7 on a </w:t>
      </w:r>
      <w:proofErr w:type="gramStart"/>
      <w:r w:rsidRPr="00AA32E1">
        <w:rPr>
          <w:rFonts w:ascii="Calibri" w:hAnsi="Calibri" w:cs="Calibri"/>
          <w:sz w:val="24"/>
          <w:szCs w:val="24"/>
        </w:rPr>
        <w:t>5 point</w:t>
      </w:r>
      <w:proofErr w:type="gramEnd"/>
      <w:r w:rsidRPr="00AA32E1">
        <w:rPr>
          <w:rFonts w:ascii="Calibri" w:hAnsi="Calibri" w:cs="Calibri"/>
          <w:sz w:val="24"/>
          <w:szCs w:val="24"/>
        </w:rPr>
        <w:t xml:space="preserve"> Likert scale ranging from strongly disagree to strongly agree. A reliability check of the instrument for the study revealed a Cronbach alpha of 0.836, which shows that the measure is reliable.</w:t>
      </w:r>
    </w:p>
    <w:p w14:paraId="1214B956"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i/>
          <w:sz w:val="24"/>
          <w:szCs w:val="24"/>
        </w:rPr>
        <w:t>Distributive Fairness:</w:t>
      </w:r>
      <w:r w:rsidRPr="00AA32E1">
        <w:rPr>
          <w:rFonts w:ascii="Calibri" w:hAnsi="Calibri" w:cs="Calibri"/>
          <w:b/>
          <w:sz w:val="24"/>
          <w:szCs w:val="24"/>
        </w:rPr>
        <w:t xml:space="preserve"> </w:t>
      </w:r>
      <w:r w:rsidRPr="00AA32E1">
        <w:rPr>
          <w:rFonts w:ascii="Calibri" w:hAnsi="Calibri" w:cs="Calibri"/>
          <w:sz w:val="24"/>
          <w:szCs w:val="24"/>
        </w:rPr>
        <w:t>This was measured using Magner and Johnson's (1995) scale which was developed for use in a budgeting environment and assesses various comparative bases that managers may use when judging the fairness of distributions. The instrument designed had a scale ranging from Strongly Disagree to Strongly Agree. The instrument which were coded RDF1 to RDF7 had a 5-point Likert-scale. A reliability coefficient of 0.836 was obtained when tested.</w:t>
      </w:r>
    </w:p>
    <w:p w14:paraId="4016C234"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i/>
          <w:sz w:val="24"/>
          <w:szCs w:val="24"/>
        </w:rPr>
        <w:t>Employee Performance:</w:t>
      </w:r>
      <w:r w:rsidRPr="00AA32E1">
        <w:rPr>
          <w:rFonts w:ascii="Calibri" w:hAnsi="Calibri" w:cs="Calibri"/>
          <w:b/>
          <w:sz w:val="24"/>
          <w:szCs w:val="24"/>
        </w:rPr>
        <w:t xml:space="preserve"> </w:t>
      </w:r>
      <w:r w:rsidRPr="00AA32E1">
        <w:rPr>
          <w:rFonts w:ascii="Calibri" w:hAnsi="Calibri" w:cs="Calibri"/>
          <w:sz w:val="24"/>
          <w:szCs w:val="24"/>
        </w:rPr>
        <w:t>This was measured using a questionnaire designed from a combination of items modified from Mahoney et al., (1963). The instruments designed had a 5- point Likert-scale scale ranging from strongly agree to strongly disagree. The instruments were coded EP1 to EP15. A reliability check of the instrument for the study revealed a Cronbach alpha of 0.898, which shows that the measure is reliable.</w:t>
      </w:r>
    </w:p>
    <w:p w14:paraId="442513F1" w14:textId="05F018CF" w:rsidR="005E263E" w:rsidRDefault="005E263E" w:rsidP="000905AA">
      <w:pPr>
        <w:spacing w:after="100" w:afterAutospacing="1" w:line="240" w:lineRule="auto"/>
        <w:contextualSpacing/>
        <w:jc w:val="both"/>
        <w:rPr>
          <w:rFonts w:ascii="Calibri" w:hAnsi="Calibri" w:cs="Calibri"/>
          <w:sz w:val="24"/>
          <w:szCs w:val="24"/>
        </w:rPr>
      </w:pPr>
      <w:r w:rsidRPr="000905AA">
        <w:rPr>
          <w:rFonts w:ascii="Calibri" w:hAnsi="Calibri" w:cs="Calibri"/>
          <w:sz w:val="24"/>
          <w:szCs w:val="24"/>
        </w:rPr>
        <w:t xml:space="preserve">Goal Commitment: Corporate goal commitment was measured by a 5- point Likert-type scale instruments developed by </w:t>
      </w:r>
      <w:r w:rsidR="000905AA">
        <w:rPr>
          <w:rFonts w:ascii="Calibri" w:hAnsi="Calibri" w:cs="Calibri"/>
          <w:sz w:val="24"/>
          <w:szCs w:val="24"/>
        </w:rPr>
        <w:t>(</w:t>
      </w:r>
      <w:r w:rsidRPr="000905AA">
        <w:rPr>
          <w:rFonts w:ascii="Calibri" w:hAnsi="Calibri" w:cs="Calibri"/>
          <w:sz w:val="24"/>
          <w:szCs w:val="24"/>
        </w:rPr>
        <w:t xml:space="preserve">Hollenbeck et al., 1989). The scale ranges from strongly agree to strongly disagree. The instruments were coded CCG1 to CCG10. A reliability check of the instrument for the study revealed a Cronbach alpha of 0.733, which shows that the measure is reliable.  </w:t>
      </w:r>
    </w:p>
    <w:p w14:paraId="25850EF8" w14:textId="77777777" w:rsidR="000905AA" w:rsidRPr="000905AA" w:rsidRDefault="000905AA" w:rsidP="000905AA">
      <w:pPr>
        <w:spacing w:after="100" w:afterAutospacing="1" w:line="240" w:lineRule="auto"/>
        <w:contextualSpacing/>
        <w:jc w:val="both"/>
        <w:rPr>
          <w:rFonts w:ascii="Calibri" w:hAnsi="Calibri" w:cs="Calibri"/>
          <w:sz w:val="24"/>
          <w:szCs w:val="24"/>
        </w:rPr>
      </w:pPr>
    </w:p>
    <w:p w14:paraId="5DEFCFB7" w14:textId="77777777" w:rsidR="000905AA" w:rsidRDefault="005E263E" w:rsidP="000905AA">
      <w:pPr>
        <w:spacing w:after="100" w:afterAutospacing="1" w:line="240" w:lineRule="auto"/>
        <w:contextualSpacing/>
        <w:jc w:val="both"/>
        <w:rPr>
          <w:rFonts w:ascii="Calibri" w:hAnsi="Calibri" w:cs="Calibri"/>
          <w:sz w:val="24"/>
          <w:szCs w:val="24"/>
        </w:rPr>
      </w:pPr>
      <w:r w:rsidRPr="000905AA">
        <w:rPr>
          <w:rFonts w:ascii="Calibri" w:hAnsi="Calibri" w:cs="Calibri"/>
          <w:sz w:val="24"/>
          <w:szCs w:val="24"/>
        </w:rPr>
        <w:t>From this, we can summarize the reliability test of the instruments used for the study as:</w:t>
      </w:r>
    </w:p>
    <w:p w14:paraId="33B933C0" w14:textId="77777777" w:rsidR="000905AA" w:rsidRDefault="000905AA" w:rsidP="000905AA">
      <w:pPr>
        <w:spacing w:after="100" w:afterAutospacing="1" w:line="240" w:lineRule="auto"/>
        <w:contextualSpacing/>
        <w:jc w:val="both"/>
        <w:rPr>
          <w:rFonts w:ascii="Calibri" w:hAnsi="Calibri" w:cs="Calibri"/>
          <w:sz w:val="24"/>
          <w:szCs w:val="24"/>
        </w:rPr>
      </w:pPr>
    </w:p>
    <w:p w14:paraId="3727F62F" w14:textId="77777777" w:rsidR="000905AA" w:rsidRPr="000905AA" w:rsidRDefault="005E263E" w:rsidP="000905AA">
      <w:pPr>
        <w:spacing w:after="100" w:afterAutospacing="1" w:line="240" w:lineRule="auto"/>
        <w:contextualSpacing/>
        <w:jc w:val="both"/>
        <w:rPr>
          <w:rFonts w:ascii="Calibri" w:hAnsi="Calibri" w:cs="Calibri"/>
          <w:iCs/>
          <w:sz w:val="24"/>
          <w:szCs w:val="24"/>
        </w:rPr>
      </w:pPr>
      <w:r w:rsidRPr="000905AA">
        <w:rPr>
          <w:rFonts w:ascii="Calibri" w:hAnsi="Calibri" w:cs="Calibri"/>
          <w:iCs/>
          <w:sz w:val="24"/>
          <w:szCs w:val="24"/>
        </w:rPr>
        <w:t>Table 2</w:t>
      </w:r>
    </w:p>
    <w:p w14:paraId="34667D3B" w14:textId="131C3774" w:rsidR="005E263E" w:rsidRPr="000905AA" w:rsidRDefault="005E263E" w:rsidP="000905AA">
      <w:pPr>
        <w:spacing w:after="100" w:afterAutospacing="1" w:line="240" w:lineRule="auto"/>
        <w:contextualSpacing/>
        <w:jc w:val="both"/>
        <w:rPr>
          <w:rFonts w:ascii="Calibri" w:hAnsi="Calibri" w:cs="Calibri"/>
          <w:i/>
          <w:iCs/>
          <w:sz w:val="24"/>
          <w:szCs w:val="24"/>
        </w:rPr>
      </w:pPr>
      <w:r w:rsidRPr="000905AA">
        <w:rPr>
          <w:rFonts w:ascii="Calibri" w:hAnsi="Calibri" w:cs="Calibri"/>
          <w:i/>
          <w:iCs/>
          <w:sz w:val="24"/>
          <w:szCs w:val="24"/>
        </w:rPr>
        <w:t>Instruments Reliability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826"/>
        <w:gridCol w:w="2561"/>
        <w:gridCol w:w="2629"/>
      </w:tblGrid>
      <w:tr w:rsidR="000905AA" w:rsidRPr="00AA32E1" w14:paraId="5A326447" w14:textId="77777777" w:rsidTr="000905AA">
        <w:trPr>
          <w:cantSplit/>
          <w:trHeight w:val="40"/>
          <w:tblHeader/>
          <w:jc w:val="center"/>
        </w:trPr>
        <w:tc>
          <w:tcPr>
            <w:tcW w:w="2122" w:type="pct"/>
            <w:shd w:val="clear" w:color="auto" w:fill="FFFFFF"/>
            <w:tcMar>
              <w:top w:w="30" w:type="dxa"/>
              <w:left w:w="30" w:type="dxa"/>
              <w:bottom w:w="30" w:type="dxa"/>
              <w:right w:w="30" w:type="dxa"/>
            </w:tcMar>
          </w:tcPr>
          <w:p w14:paraId="283EB405" w14:textId="77777777" w:rsidR="000905AA" w:rsidRPr="00AA32E1" w:rsidRDefault="000905AA" w:rsidP="00D25C9C">
            <w:pPr>
              <w:keepNext/>
              <w:autoSpaceDE w:val="0"/>
              <w:autoSpaceDN w:val="0"/>
              <w:adjustRightInd w:val="0"/>
              <w:spacing w:after="0" w:line="240" w:lineRule="auto"/>
              <w:jc w:val="both"/>
              <w:rPr>
                <w:rFonts w:ascii="Calibri" w:hAnsi="Calibri" w:cs="Calibri"/>
                <w:b/>
                <w:sz w:val="24"/>
                <w:szCs w:val="24"/>
              </w:rPr>
            </w:pPr>
            <w:r w:rsidRPr="00AA32E1">
              <w:rPr>
                <w:rFonts w:ascii="Calibri" w:hAnsi="Calibri" w:cs="Calibri"/>
                <w:b/>
                <w:sz w:val="24"/>
                <w:szCs w:val="24"/>
              </w:rPr>
              <w:t>Variable</w:t>
            </w:r>
          </w:p>
        </w:tc>
        <w:tc>
          <w:tcPr>
            <w:tcW w:w="1420" w:type="pct"/>
            <w:shd w:val="clear" w:color="auto" w:fill="FFFFFF"/>
          </w:tcPr>
          <w:p w14:paraId="088CDF2A" w14:textId="77777777" w:rsidR="000905AA" w:rsidRPr="00AA32E1" w:rsidRDefault="000905AA" w:rsidP="00D25C9C">
            <w:pPr>
              <w:keepNext/>
              <w:autoSpaceDE w:val="0"/>
              <w:autoSpaceDN w:val="0"/>
              <w:adjustRightInd w:val="0"/>
              <w:spacing w:after="0" w:line="240" w:lineRule="auto"/>
              <w:jc w:val="both"/>
              <w:rPr>
                <w:rFonts w:ascii="Calibri" w:hAnsi="Calibri" w:cs="Calibri"/>
                <w:b/>
                <w:sz w:val="24"/>
                <w:szCs w:val="24"/>
              </w:rPr>
            </w:pPr>
            <w:r w:rsidRPr="00AA32E1">
              <w:rPr>
                <w:rFonts w:ascii="Calibri" w:hAnsi="Calibri" w:cs="Calibri"/>
                <w:b/>
                <w:sz w:val="24"/>
                <w:szCs w:val="24"/>
              </w:rPr>
              <w:t>Coding</w:t>
            </w:r>
          </w:p>
        </w:tc>
        <w:tc>
          <w:tcPr>
            <w:tcW w:w="1458" w:type="pct"/>
            <w:shd w:val="clear" w:color="auto" w:fill="FFFFFF"/>
            <w:tcMar>
              <w:top w:w="30" w:type="dxa"/>
              <w:left w:w="30" w:type="dxa"/>
              <w:bottom w:w="30" w:type="dxa"/>
              <w:right w:w="30" w:type="dxa"/>
            </w:tcMar>
            <w:vAlign w:val="bottom"/>
          </w:tcPr>
          <w:p w14:paraId="1F59FC57" w14:textId="77777777" w:rsidR="000905AA" w:rsidRPr="00AA32E1" w:rsidRDefault="000905AA"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Cronbach’s Alpha</w:t>
            </w:r>
          </w:p>
        </w:tc>
      </w:tr>
      <w:tr w:rsidR="000905AA" w:rsidRPr="00AA32E1" w14:paraId="09FACECB" w14:textId="77777777" w:rsidTr="000905AA">
        <w:trPr>
          <w:cantSplit/>
          <w:trHeight w:val="40"/>
          <w:tblHeader/>
          <w:jc w:val="center"/>
        </w:trPr>
        <w:tc>
          <w:tcPr>
            <w:tcW w:w="2122" w:type="pct"/>
            <w:shd w:val="clear" w:color="auto" w:fill="FFFFFF"/>
            <w:tcMar>
              <w:top w:w="30" w:type="dxa"/>
              <w:left w:w="30" w:type="dxa"/>
              <w:bottom w:w="30" w:type="dxa"/>
              <w:right w:w="30" w:type="dxa"/>
            </w:tcMar>
          </w:tcPr>
          <w:p w14:paraId="5A3DED5B"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Participation</w:t>
            </w:r>
          </w:p>
        </w:tc>
        <w:tc>
          <w:tcPr>
            <w:tcW w:w="1420" w:type="pct"/>
            <w:shd w:val="clear" w:color="auto" w:fill="FFFFFF"/>
          </w:tcPr>
          <w:p w14:paraId="14C795AD"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BP1-BP11</w:t>
            </w:r>
          </w:p>
        </w:tc>
        <w:tc>
          <w:tcPr>
            <w:tcW w:w="1458" w:type="pct"/>
            <w:shd w:val="clear" w:color="auto" w:fill="FFFFFF"/>
            <w:tcMar>
              <w:top w:w="30" w:type="dxa"/>
              <w:left w:w="30" w:type="dxa"/>
              <w:bottom w:w="30" w:type="dxa"/>
              <w:right w:w="30" w:type="dxa"/>
            </w:tcMar>
            <w:vAlign w:val="center"/>
          </w:tcPr>
          <w:p w14:paraId="47C5CA9D"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0.834</w:t>
            </w:r>
          </w:p>
        </w:tc>
      </w:tr>
      <w:tr w:rsidR="000905AA" w:rsidRPr="00AA32E1" w14:paraId="145B4B3F" w14:textId="77777777" w:rsidTr="000905AA">
        <w:trPr>
          <w:cantSplit/>
          <w:trHeight w:val="40"/>
          <w:tblHeader/>
          <w:jc w:val="center"/>
        </w:trPr>
        <w:tc>
          <w:tcPr>
            <w:tcW w:w="2122" w:type="pct"/>
            <w:shd w:val="clear" w:color="auto" w:fill="FFFFFF"/>
            <w:tcMar>
              <w:top w:w="30" w:type="dxa"/>
              <w:left w:w="30" w:type="dxa"/>
              <w:bottom w:w="30" w:type="dxa"/>
              <w:right w:w="30" w:type="dxa"/>
            </w:tcMar>
          </w:tcPr>
          <w:p w14:paraId="75DBE87B"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Budget Goal Clarity</w:t>
            </w:r>
          </w:p>
        </w:tc>
        <w:tc>
          <w:tcPr>
            <w:tcW w:w="1420" w:type="pct"/>
            <w:shd w:val="clear" w:color="auto" w:fill="FFFFFF"/>
          </w:tcPr>
          <w:p w14:paraId="1072B35E"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BGC1-BCG7</w:t>
            </w:r>
          </w:p>
        </w:tc>
        <w:tc>
          <w:tcPr>
            <w:tcW w:w="1458" w:type="pct"/>
            <w:shd w:val="clear" w:color="auto" w:fill="FFFFFF"/>
            <w:tcMar>
              <w:top w:w="30" w:type="dxa"/>
              <w:left w:w="30" w:type="dxa"/>
              <w:bottom w:w="30" w:type="dxa"/>
              <w:right w:w="30" w:type="dxa"/>
            </w:tcMar>
            <w:vAlign w:val="center"/>
          </w:tcPr>
          <w:p w14:paraId="1B57DA38"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0.836</w:t>
            </w:r>
          </w:p>
        </w:tc>
      </w:tr>
      <w:tr w:rsidR="000905AA" w:rsidRPr="00AA32E1" w14:paraId="4ABF0D27" w14:textId="77777777" w:rsidTr="000905AA">
        <w:trPr>
          <w:cantSplit/>
          <w:trHeight w:val="57"/>
          <w:jc w:val="center"/>
        </w:trPr>
        <w:tc>
          <w:tcPr>
            <w:tcW w:w="2122" w:type="pct"/>
            <w:shd w:val="clear" w:color="auto" w:fill="FFFFFF"/>
            <w:tcMar>
              <w:top w:w="30" w:type="dxa"/>
              <w:left w:w="30" w:type="dxa"/>
              <w:bottom w:w="30" w:type="dxa"/>
              <w:right w:w="30" w:type="dxa"/>
            </w:tcMar>
          </w:tcPr>
          <w:p w14:paraId="0D626C82"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Revenue Distribution Fairness</w:t>
            </w:r>
          </w:p>
        </w:tc>
        <w:tc>
          <w:tcPr>
            <w:tcW w:w="1420" w:type="pct"/>
            <w:shd w:val="clear" w:color="auto" w:fill="FFFFFF"/>
          </w:tcPr>
          <w:p w14:paraId="13E968AF"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RDF1-RDF7</w:t>
            </w:r>
          </w:p>
        </w:tc>
        <w:tc>
          <w:tcPr>
            <w:tcW w:w="1458" w:type="pct"/>
            <w:shd w:val="clear" w:color="auto" w:fill="FFFFFF"/>
            <w:tcMar>
              <w:top w:w="30" w:type="dxa"/>
              <w:left w:w="30" w:type="dxa"/>
              <w:bottom w:w="30" w:type="dxa"/>
              <w:right w:w="30" w:type="dxa"/>
            </w:tcMar>
            <w:vAlign w:val="center"/>
          </w:tcPr>
          <w:p w14:paraId="7C61B08D"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0.836</w:t>
            </w:r>
          </w:p>
        </w:tc>
      </w:tr>
      <w:tr w:rsidR="000905AA" w:rsidRPr="00AA32E1" w14:paraId="2F3D100F" w14:textId="77777777" w:rsidTr="000905AA">
        <w:trPr>
          <w:cantSplit/>
          <w:trHeight w:val="57"/>
          <w:jc w:val="center"/>
        </w:trPr>
        <w:tc>
          <w:tcPr>
            <w:tcW w:w="2122" w:type="pct"/>
            <w:shd w:val="clear" w:color="auto" w:fill="FFFFFF"/>
            <w:tcMar>
              <w:top w:w="30" w:type="dxa"/>
              <w:left w:w="30" w:type="dxa"/>
              <w:bottom w:w="30" w:type="dxa"/>
              <w:right w:w="30" w:type="dxa"/>
            </w:tcMar>
          </w:tcPr>
          <w:p w14:paraId="1E687BCB"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Employee Performance</w:t>
            </w:r>
          </w:p>
        </w:tc>
        <w:tc>
          <w:tcPr>
            <w:tcW w:w="1420" w:type="pct"/>
            <w:shd w:val="clear" w:color="auto" w:fill="FFFFFF"/>
          </w:tcPr>
          <w:p w14:paraId="2961E06E"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EP1-EP15</w:t>
            </w:r>
          </w:p>
        </w:tc>
        <w:tc>
          <w:tcPr>
            <w:tcW w:w="1458" w:type="pct"/>
            <w:shd w:val="clear" w:color="auto" w:fill="FFFFFF"/>
            <w:tcMar>
              <w:top w:w="30" w:type="dxa"/>
              <w:left w:w="30" w:type="dxa"/>
              <w:bottom w:w="30" w:type="dxa"/>
              <w:right w:w="30" w:type="dxa"/>
            </w:tcMar>
            <w:vAlign w:val="center"/>
          </w:tcPr>
          <w:p w14:paraId="2AEBB2F4"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0.898</w:t>
            </w:r>
          </w:p>
        </w:tc>
      </w:tr>
      <w:tr w:rsidR="000905AA" w:rsidRPr="00AA32E1" w14:paraId="123DE159" w14:textId="77777777" w:rsidTr="000905AA">
        <w:trPr>
          <w:cantSplit/>
          <w:trHeight w:val="57"/>
          <w:jc w:val="center"/>
        </w:trPr>
        <w:tc>
          <w:tcPr>
            <w:tcW w:w="2122" w:type="pct"/>
            <w:shd w:val="clear" w:color="auto" w:fill="FFFFFF"/>
            <w:tcMar>
              <w:top w:w="30" w:type="dxa"/>
              <w:left w:w="30" w:type="dxa"/>
              <w:bottom w:w="30" w:type="dxa"/>
              <w:right w:w="30" w:type="dxa"/>
            </w:tcMar>
          </w:tcPr>
          <w:p w14:paraId="549DEBFC"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proofErr w:type="gramStart"/>
            <w:r w:rsidRPr="00AA32E1">
              <w:rPr>
                <w:rFonts w:ascii="Calibri" w:hAnsi="Calibri" w:cs="Calibri"/>
                <w:color w:val="000000"/>
                <w:sz w:val="24"/>
                <w:szCs w:val="24"/>
              </w:rPr>
              <w:t>Commitment  to</w:t>
            </w:r>
            <w:proofErr w:type="gramEnd"/>
            <w:r w:rsidRPr="00AA32E1">
              <w:rPr>
                <w:rFonts w:ascii="Calibri" w:hAnsi="Calibri" w:cs="Calibri"/>
                <w:color w:val="000000"/>
                <w:sz w:val="24"/>
                <w:szCs w:val="24"/>
              </w:rPr>
              <w:t xml:space="preserve"> Corporate Goal </w:t>
            </w:r>
          </w:p>
        </w:tc>
        <w:tc>
          <w:tcPr>
            <w:tcW w:w="1420" w:type="pct"/>
            <w:shd w:val="clear" w:color="auto" w:fill="FFFFFF"/>
          </w:tcPr>
          <w:p w14:paraId="497308E6"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CCG-CCG10</w:t>
            </w:r>
          </w:p>
        </w:tc>
        <w:tc>
          <w:tcPr>
            <w:tcW w:w="1458" w:type="pct"/>
            <w:shd w:val="clear" w:color="auto" w:fill="FFFFFF"/>
            <w:tcMar>
              <w:top w:w="30" w:type="dxa"/>
              <w:left w:w="30" w:type="dxa"/>
              <w:bottom w:w="30" w:type="dxa"/>
              <w:right w:w="30" w:type="dxa"/>
            </w:tcMar>
            <w:vAlign w:val="center"/>
          </w:tcPr>
          <w:p w14:paraId="5D293E0A" w14:textId="77777777"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0.733</w:t>
            </w:r>
          </w:p>
        </w:tc>
      </w:tr>
    </w:tbl>
    <w:p w14:paraId="65725E47" w14:textId="77777777" w:rsidR="000905AA" w:rsidRPr="00AA32E1" w:rsidRDefault="000905AA" w:rsidP="000905AA">
      <w:pPr>
        <w:keepNext/>
        <w:spacing w:after="0" w:line="240" w:lineRule="auto"/>
        <w:jc w:val="both"/>
        <w:rPr>
          <w:rFonts w:ascii="Calibri" w:hAnsi="Calibri" w:cs="Calibri"/>
          <w:sz w:val="24"/>
          <w:szCs w:val="24"/>
        </w:rPr>
      </w:pPr>
      <w:r w:rsidRPr="00AA32E1">
        <w:rPr>
          <w:rFonts w:ascii="Calibri" w:hAnsi="Calibri" w:cs="Calibri"/>
          <w:b/>
          <w:i/>
          <w:sz w:val="24"/>
          <w:szCs w:val="24"/>
        </w:rPr>
        <w:t>Source:</w:t>
      </w:r>
      <w:r w:rsidRPr="00AA32E1">
        <w:rPr>
          <w:rFonts w:ascii="Calibri" w:hAnsi="Calibri" w:cs="Calibri"/>
          <w:sz w:val="24"/>
          <w:szCs w:val="24"/>
        </w:rPr>
        <w:t xml:space="preserve"> Primary Data</w:t>
      </w:r>
    </w:p>
    <w:p w14:paraId="67AB0DD6" w14:textId="77777777" w:rsidR="000905AA" w:rsidRPr="00AA32E1" w:rsidRDefault="000905AA" w:rsidP="000905AA">
      <w:pPr>
        <w:spacing w:after="100" w:afterAutospacing="1" w:line="240" w:lineRule="auto"/>
        <w:contextualSpacing/>
        <w:jc w:val="both"/>
        <w:rPr>
          <w:rFonts w:ascii="Calibri" w:hAnsi="Calibri" w:cs="Calibri"/>
          <w:sz w:val="24"/>
          <w:szCs w:val="24"/>
        </w:rPr>
      </w:pPr>
    </w:p>
    <w:p w14:paraId="0A4DA6D4" w14:textId="13165B4D" w:rsidR="005E263E" w:rsidRPr="00AA32E1" w:rsidRDefault="005E263E" w:rsidP="000905AA">
      <w:pPr>
        <w:keepNext/>
        <w:spacing w:after="60" w:line="240" w:lineRule="auto"/>
        <w:jc w:val="both"/>
        <w:rPr>
          <w:rFonts w:ascii="Calibri" w:hAnsi="Calibri" w:cs="Calibri"/>
          <w:b/>
          <w:i/>
          <w:sz w:val="24"/>
          <w:szCs w:val="24"/>
        </w:rPr>
      </w:pPr>
      <w:r w:rsidRPr="00AA32E1">
        <w:rPr>
          <w:rFonts w:ascii="Calibri" w:hAnsi="Calibri" w:cs="Calibri"/>
          <w:b/>
          <w:i/>
          <w:sz w:val="24"/>
          <w:szCs w:val="24"/>
        </w:rPr>
        <w:lastRenderedPageBreak/>
        <w:t xml:space="preserve">Data </w:t>
      </w:r>
      <w:r w:rsidR="000905AA" w:rsidRPr="00AA32E1">
        <w:rPr>
          <w:rFonts w:ascii="Calibri" w:hAnsi="Calibri" w:cs="Calibri"/>
          <w:b/>
          <w:i/>
          <w:sz w:val="24"/>
          <w:szCs w:val="24"/>
        </w:rPr>
        <w:t>Analysis</w:t>
      </w:r>
    </w:p>
    <w:p w14:paraId="6005CA63" w14:textId="77777777" w:rsidR="005E263E" w:rsidRPr="00AA32E1" w:rsidRDefault="005E263E" w:rsidP="005E263E">
      <w:pPr>
        <w:keepNext/>
        <w:spacing w:after="0" w:line="240" w:lineRule="auto"/>
        <w:ind w:firstLine="567"/>
        <w:contextualSpacing/>
        <w:jc w:val="both"/>
        <w:rPr>
          <w:rFonts w:ascii="Calibri" w:hAnsi="Calibri" w:cs="Calibri"/>
          <w:sz w:val="24"/>
          <w:szCs w:val="24"/>
        </w:rPr>
      </w:pPr>
      <w:r w:rsidRPr="00AA32E1">
        <w:rPr>
          <w:rFonts w:ascii="Calibri" w:hAnsi="Calibri" w:cs="Calibri"/>
          <w:sz w:val="24"/>
          <w:szCs w:val="24"/>
        </w:rPr>
        <w:t xml:space="preserve">Collected data from the questionnaire was edited, classified, tabulated, coded and analyzed quantitatively. Quantitative data analysis was done using SPSS software package (SPSS version 16). The relationship among the independent and dependent variables was tested using Pearson’s correlation test. The strength of the independent variables on the dependent variables was tested using regression analysis.    </w:t>
      </w:r>
    </w:p>
    <w:p w14:paraId="6FA53EB6" w14:textId="77777777" w:rsidR="000905AA" w:rsidRDefault="000905AA" w:rsidP="000905AA">
      <w:pPr>
        <w:keepNext/>
        <w:tabs>
          <w:tab w:val="left" w:pos="851"/>
        </w:tabs>
        <w:spacing w:after="60" w:line="240" w:lineRule="auto"/>
        <w:jc w:val="both"/>
        <w:rPr>
          <w:rFonts w:ascii="Calibri" w:hAnsi="Calibri" w:cs="Calibri"/>
          <w:sz w:val="24"/>
          <w:szCs w:val="24"/>
        </w:rPr>
      </w:pPr>
    </w:p>
    <w:p w14:paraId="7237EE1E" w14:textId="5D0C92AD" w:rsidR="005E263E" w:rsidRPr="00AA32E1" w:rsidRDefault="005E263E" w:rsidP="000905AA">
      <w:pPr>
        <w:keepNext/>
        <w:tabs>
          <w:tab w:val="left" w:pos="851"/>
        </w:tabs>
        <w:spacing w:after="60" w:line="240" w:lineRule="auto"/>
        <w:jc w:val="both"/>
        <w:rPr>
          <w:rFonts w:ascii="Calibri" w:hAnsi="Calibri" w:cs="Calibri"/>
          <w:b/>
          <w:sz w:val="24"/>
          <w:szCs w:val="24"/>
        </w:rPr>
      </w:pPr>
      <w:r w:rsidRPr="00AA32E1">
        <w:rPr>
          <w:rFonts w:ascii="Calibri" w:hAnsi="Calibri" w:cs="Calibri"/>
          <w:b/>
          <w:sz w:val="24"/>
          <w:szCs w:val="24"/>
        </w:rPr>
        <w:t xml:space="preserve">Results and </w:t>
      </w:r>
      <w:r w:rsidR="000905AA" w:rsidRPr="00AA32E1">
        <w:rPr>
          <w:rFonts w:ascii="Calibri" w:hAnsi="Calibri" w:cs="Calibri"/>
          <w:b/>
          <w:sz w:val="24"/>
          <w:szCs w:val="24"/>
        </w:rPr>
        <w:t>Discussion</w:t>
      </w:r>
    </w:p>
    <w:p w14:paraId="66B6D69A" w14:textId="77777777" w:rsidR="005E263E" w:rsidRPr="00AA32E1" w:rsidRDefault="005E263E" w:rsidP="005E263E">
      <w:pPr>
        <w:keepNext/>
        <w:spacing w:after="0" w:line="240" w:lineRule="auto"/>
        <w:ind w:firstLine="567"/>
        <w:contextualSpacing/>
        <w:jc w:val="both"/>
        <w:rPr>
          <w:rFonts w:ascii="Calibri" w:hAnsi="Calibri" w:cs="Calibri"/>
          <w:sz w:val="24"/>
          <w:szCs w:val="24"/>
        </w:rPr>
      </w:pPr>
      <w:r w:rsidRPr="00AA32E1">
        <w:rPr>
          <w:rFonts w:ascii="Calibri" w:hAnsi="Calibri" w:cs="Calibri"/>
          <w:sz w:val="24"/>
          <w:szCs w:val="24"/>
        </w:rPr>
        <w:t xml:space="preserve">The main objective underlying the study is to assess the relationship between budget participation and </w:t>
      </w:r>
      <w:proofErr w:type="gramStart"/>
      <w:r w:rsidRPr="00AA32E1">
        <w:rPr>
          <w:rFonts w:ascii="Calibri" w:hAnsi="Calibri" w:cs="Calibri"/>
          <w:sz w:val="24"/>
          <w:szCs w:val="24"/>
        </w:rPr>
        <w:t>employees</w:t>
      </w:r>
      <w:proofErr w:type="gramEnd"/>
      <w:r w:rsidRPr="00AA32E1">
        <w:rPr>
          <w:rFonts w:ascii="Calibri" w:hAnsi="Calibri" w:cs="Calibri"/>
          <w:sz w:val="24"/>
          <w:szCs w:val="24"/>
        </w:rPr>
        <w:t xml:space="preserve"> performance of public universities in Ghana using University of Education as the study area.  By using Pearson Correlation and Regression, a series of test was conducted to assess the relationship and strength of relationship among these variables.</w:t>
      </w:r>
    </w:p>
    <w:p w14:paraId="0F53CCC2" w14:textId="77777777" w:rsidR="005E263E" w:rsidRPr="00AA32E1" w:rsidRDefault="005E263E" w:rsidP="005E263E">
      <w:pPr>
        <w:keepNext/>
        <w:spacing w:after="0" w:line="240" w:lineRule="auto"/>
        <w:ind w:firstLine="567"/>
        <w:contextualSpacing/>
        <w:jc w:val="both"/>
        <w:rPr>
          <w:rFonts w:ascii="Calibri" w:hAnsi="Calibri" w:cs="Calibri"/>
          <w:sz w:val="24"/>
          <w:szCs w:val="24"/>
        </w:rPr>
      </w:pPr>
    </w:p>
    <w:p w14:paraId="1CE2D6CA" w14:textId="7E5DE0B3" w:rsidR="005E263E" w:rsidRPr="00AA32E1" w:rsidRDefault="005E263E" w:rsidP="000905AA">
      <w:pPr>
        <w:keepNext/>
        <w:tabs>
          <w:tab w:val="left" w:pos="851"/>
          <w:tab w:val="left" w:pos="993"/>
        </w:tabs>
        <w:spacing w:after="60" w:line="240" w:lineRule="auto"/>
        <w:contextualSpacing/>
        <w:jc w:val="both"/>
        <w:rPr>
          <w:rFonts w:ascii="Calibri" w:hAnsi="Calibri" w:cs="Calibri"/>
          <w:b/>
          <w:i/>
          <w:sz w:val="24"/>
          <w:szCs w:val="24"/>
        </w:rPr>
      </w:pPr>
      <w:r w:rsidRPr="00AA32E1">
        <w:rPr>
          <w:rFonts w:ascii="Calibri" w:hAnsi="Calibri" w:cs="Calibri"/>
          <w:b/>
          <w:i/>
          <w:sz w:val="24"/>
          <w:szCs w:val="24"/>
        </w:rPr>
        <w:t xml:space="preserve">Level of </w:t>
      </w:r>
      <w:r w:rsidR="000905AA" w:rsidRPr="00AA32E1">
        <w:rPr>
          <w:rFonts w:ascii="Calibri" w:hAnsi="Calibri" w:cs="Calibri"/>
          <w:b/>
          <w:i/>
          <w:sz w:val="24"/>
          <w:szCs w:val="24"/>
        </w:rPr>
        <w:t>Budget Participation</w:t>
      </w:r>
    </w:p>
    <w:p w14:paraId="4556D295" w14:textId="77777777" w:rsidR="005E263E" w:rsidRPr="00AA32E1" w:rsidRDefault="005E263E" w:rsidP="005E263E">
      <w:pPr>
        <w:pStyle w:val="Default"/>
        <w:keepNext/>
        <w:ind w:firstLine="567"/>
        <w:jc w:val="both"/>
        <w:rPr>
          <w:rFonts w:ascii="Calibri" w:hAnsi="Calibri" w:cs="Calibri"/>
        </w:rPr>
      </w:pPr>
      <w:r w:rsidRPr="00AA32E1">
        <w:rPr>
          <w:rFonts w:ascii="Calibri" w:hAnsi="Calibri" w:cs="Calibri"/>
        </w:rPr>
        <w:t>The results in Table 3</w:t>
      </w:r>
      <w:r w:rsidRPr="00AA32E1">
        <w:rPr>
          <w:rFonts w:ascii="Calibri" w:hAnsi="Calibri" w:cs="Calibri"/>
          <w:b/>
          <w:bCs/>
        </w:rPr>
        <w:t xml:space="preserve"> </w:t>
      </w:r>
      <w:r w:rsidRPr="00AA32E1">
        <w:rPr>
          <w:rFonts w:ascii="Calibri" w:hAnsi="Calibri" w:cs="Calibri"/>
        </w:rPr>
        <w:t xml:space="preserve">below were generated using descriptive statistics in order to explore the level of budget participation of the respondents. </w:t>
      </w:r>
    </w:p>
    <w:p w14:paraId="2ED977BF" w14:textId="77777777" w:rsidR="005E263E" w:rsidRPr="00AA32E1" w:rsidRDefault="005E263E" w:rsidP="005E263E">
      <w:pPr>
        <w:pStyle w:val="NoSpacing"/>
        <w:ind w:firstLine="567"/>
        <w:jc w:val="both"/>
        <w:rPr>
          <w:rFonts w:cs="Calibri"/>
          <w:sz w:val="24"/>
          <w:szCs w:val="24"/>
        </w:rPr>
      </w:pPr>
    </w:p>
    <w:p w14:paraId="5D2E620B" w14:textId="77777777" w:rsidR="000905AA" w:rsidRPr="000905AA" w:rsidRDefault="005E263E" w:rsidP="005E263E">
      <w:pPr>
        <w:pStyle w:val="NoSpacing"/>
        <w:jc w:val="both"/>
        <w:rPr>
          <w:rFonts w:cs="Calibri"/>
          <w:iCs/>
          <w:sz w:val="24"/>
          <w:szCs w:val="24"/>
        </w:rPr>
      </w:pPr>
      <w:r w:rsidRPr="000905AA">
        <w:rPr>
          <w:rFonts w:cs="Calibri"/>
          <w:iCs/>
          <w:sz w:val="24"/>
          <w:szCs w:val="24"/>
        </w:rPr>
        <w:t>Table 3</w:t>
      </w:r>
    </w:p>
    <w:p w14:paraId="67D39727" w14:textId="1C691468" w:rsidR="005E263E" w:rsidRPr="000905AA" w:rsidRDefault="005E263E" w:rsidP="005E263E">
      <w:pPr>
        <w:pStyle w:val="NoSpacing"/>
        <w:jc w:val="both"/>
        <w:rPr>
          <w:rFonts w:cs="Calibri"/>
          <w:i/>
          <w:iCs/>
          <w:sz w:val="24"/>
          <w:szCs w:val="24"/>
        </w:rPr>
      </w:pPr>
      <w:r w:rsidRPr="000905AA">
        <w:rPr>
          <w:rFonts w:cs="Calibri"/>
          <w:i/>
          <w:iCs/>
          <w:sz w:val="24"/>
          <w:szCs w:val="24"/>
        </w:rPr>
        <w:t>Descriptive Statistics on Budget Participation (BP)</w:t>
      </w:r>
    </w:p>
    <w:tbl>
      <w:tblPr>
        <w:tblpPr w:leftFromText="180" w:rightFromText="180" w:vertAnchor="text" w:horzAnchor="margin" w:tblpXSpec="center"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48"/>
        <w:gridCol w:w="752"/>
        <w:gridCol w:w="1127"/>
        <w:gridCol w:w="1408"/>
        <w:gridCol w:w="1502"/>
        <w:gridCol w:w="1879"/>
      </w:tblGrid>
      <w:tr w:rsidR="005E263E" w:rsidRPr="00AA32E1" w14:paraId="5629C613" w14:textId="77777777" w:rsidTr="000905AA">
        <w:trPr>
          <w:cantSplit/>
          <w:tblHeader/>
        </w:trPr>
        <w:tc>
          <w:tcPr>
            <w:tcW w:w="1302" w:type="pct"/>
            <w:shd w:val="clear" w:color="auto" w:fill="FFFFFF"/>
            <w:tcMar>
              <w:top w:w="30" w:type="dxa"/>
              <w:left w:w="30" w:type="dxa"/>
              <w:bottom w:w="30" w:type="dxa"/>
              <w:right w:w="30" w:type="dxa"/>
            </w:tcMar>
          </w:tcPr>
          <w:p w14:paraId="3B5A98EC" w14:textId="77777777" w:rsidR="005E263E" w:rsidRPr="00AA32E1" w:rsidRDefault="005E263E" w:rsidP="00D25C9C">
            <w:pPr>
              <w:pStyle w:val="NoSpacing"/>
              <w:jc w:val="both"/>
              <w:rPr>
                <w:rFonts w:cs="Calibri"/>
                <w:b/>
                <w:sz w:val="24"/>
                <w:szCs w:val="24"/>
              </w:rPr>
            </w:pPr>
            <w:r w:rsidRPr="00AA32E1">
              <w:rPr>
                <w:rFonts w:cs="Calibri"/>
                <w:b/>
                <w:sz w:val="24"/>
                <w:szCs w:val="24"/>
              </w:rPr>
              <w:t>Variables</w:t>
            </w:r>
          </w:p>
        </w:tc>
        <w:tc>
          <w:tcPr>
            <w:tcW w:w="417" w:type="pct"/>
            <w:shd w:val="clear" w:color="auto" w:fill="FFFFFF"/>
            <w:tcMar>
              <w:top w:w="30" w:type="dxa"/>
              <w:left w:w="30" w:type="dxa"/>
              <w:bottom w:w="30" w:type="dxa"/>
              <w:right w:w="30" w:type="dxa"/>
            </w:tcMar>
            <w:vAlign w:val="bottom"/>
          </w:tcPr>
          <w:p w14:paraId="1DA962D7" w14:textId="77777777" w:rsidR="005E263E" w:rsidRPr="00AA32E1" w:rsidRDefault="005E263E" w:rsidP="00D25C9C">
            <w:pPr>
              <w:pStyle w:val="NoSpacing"/>
              <w:jc w:val="both"/>
              <w:rPr>
                <w:rFonts w:cs="Calibri"/>
                <w:b/>
                <w:color w:val="000000"/>
                <w:sz w:val="24"/>
                <w:szCs w:val="24"/>
              </w:rPr>
            </w:pPr>
            <w:r w:rsidRPr="00AA32E1">
              <w:rPr>
                <w:rFonts w:cs="Calibri"/>
                <w:b/>
                <w:color w:val="000000"/>
                <w:sz w:val="24"/>
                <w:szCs w:val="24"/>
              </w:rPr>
              <w:t>N</w:t>
            </w:r>
          </w:p>
        </w:tc>
        <w:tc>
          <w:tcPr>
            <w:tcW w:w="625" w:type="pct"/>
            <w:shd w:val="clear" w:color="auto" w:fill="FFFFFF"/>
            <w:tcMar>
              <w:top w:w="30" w:type="dxa"/>
              <w:left w:w="30" w:type="dxa"/>
              <w:bottom w:w="30" w:type="dxa"/>
              <w:right w:w="30" w:type="dxa"/>
            </w:tcMar>
            <w:vAlign w:val="bottom"/>
          </w:tcPr>
          <w:p w14:paraId="06418210" w14:textId="77777777" w:rsidR="005E263E" w:rsidRPr="00AA32E1" w:rsidRDefault="005E263E" w:rsidP="00D25C9C">
            <w:pPr>
              <w:pStyle w:val="NoSpacing"/>
              <w:jc w:val="both"/>
              <w:rPr>
                <w:rFonts w:cs="Calibri"/>
                <w:b/>
                <w:color w:val="000000"/>
                <w:sz w:val="24"/>
                <w:szCs w:val="24"/>
              </w:rPr>
            </w:pPr>
            <w:r w:rsidRPr="00AA32E1">
              <w:rPr>
                <w:rFonts w:cs="Calibri"/>
                <w:b/>
                <w:color w:val="000000"/>
                <w:sz w:val="24"/>
                <w:szCs w:val="24"/>
              </w:rPr>
              <w:t>Minimum</w:t>
            </w:r>
          </w:p>
        </w:tc>
        <w:tc>
          <w:tcPr>
            <w:tcW w:w="781" w:type="pct"/>
            <w:shd w:val="clear" w:color="auto" w:fill="FFFFFF"/>
            <w:tcMar>
              <w:top w:w="30" w:type="dxa"/>
              <w:left w:w="30" w:type="dxa"/>
              <w:bottom w:w="30" w:type="dxa"/>
              <w:right w:w="30" w:type="dxa"/>
            </w:tcMar>
            <w:vAlign w:val="bottom"/>
          </w:tcPr>
          <w:p w14:paraId="1A275CE2" w14:textId="77777777" w:rsidR="005E263E" w:rsidRPr="00AA32E1" w:rsidRDefault="005E263E" w:rsidP="00D25C9C">
            <w:pPr>
              <w:pStyle w:val="NoSpacing"/>
              <w:jc w:val="both"/>
              <w:rPr>
                <w:rFonts w:cs="Calibri"/>
                <w:b/>
                <w:color w:val="000000"/>
                <w:sz w:val="24"/>
                <w:szCs w:val="24"/>
              </w:rPr>
            </w:pPr>
            <w:r w:rsidRPr="00AA32E1">
              <w:rPr>
                <w:rFonts w:cs="Calibri"/>
                <w:b/>
                <w:color w:val="000000"/>
                <w:sz w:val="24"/>
                <w:szCs w:val="24"/>
              </w:rPr>
              <w:t>Maximum</w:t>
            </w:r>
          </w:p>
        </w:tc>
        <w:tc>
          <w:tcPr>
            <w:tcW w:w="833" w:type="pct"/>
            <w:shd w:val="clear" w:color="auto" w:fill="FFFFFF"/>
            <w:tcMar>
              <w:top w:w="30" w:type="dxa"/>
              <w:left w:w="30" w:type="dxa"/>
              <w:bottom w:w="30" w:type="dxa"/>
              <w:right w:w="30" w:type="dxa"/>
            </w:tcMar>
            <w:vAlign w:val="bottom"/>
          </w:tcPr>
          <w:p w14:paraId="7322FF00" w14:textId="77777777" w:rsidR="005E263E" w:rsidRPr="00AA32E1" w:rsidRDefault="005E263E" w:rsidP="00D25C9C">
            <w:pPr>
              <w:pStyle w:val="NoSpacing"/>
              <w:jc w:val="both"/>
              <w:rPr>
                <w:rFonts w:cs="Calibri"/>
                <w:b/>
                <w:color w:val="000000"/>
                <w:sz w:val="24"/>
                <w:szCs w:val="24"/>
              </w:rPr>
            </w:pPr>
            <w:r w:rsidRPr="00AA32E1">
              <w:rPr>
                <w:rFonts w:cs="Calibri"/>
                <w:b/>
                <w:color w:val="000000"/>
                <w:sz w:val="24"/>
                <w:szCs w:val="24"/>
              </w:rPr>
              <w:t>Mean</w:t>
            </w:r>
          </w:p>
        </w:tc>
        <w:tc>
          <w:tcPr>
            <w:tcW w:w="1042" w:type="pct"/>
            <w:shd w:val="clear" w:color="auto" w:fill="FFFFFF"/>
            <w:tcMar>
              <w:top w:w="30" w:type="dxa"/>
              <w:left w:w="30" w:type="dxa"/>
              <w:bottom w:w="30" w:type="dxa"/>
              <w:right w:w="30" w:type="dxa"/>
            </w:tcMar>
            <w:vAlign w:val="bottom"/>
          </w:tcPr>
          <w:p w14:paraId="209D85FC" w14:textId="77777777" w:rsidR="005E263E" w:rsidRPr="00AA32E1" w:rsidRDefault="005E263E" w:rsidP="00D25C9C">
            <w:pPr>
              <w:pStyle w:val="NoSpacing"/>
              <w:jc w:val="both"/>
              <w:rPr>
                <w:rFonts w:cs="Calibri"/>
                <w:b/>
                <w:color w:val="000000"/>
                <w:sz w:val="24"/>
                <w:szCs w:val="24"/>
              </w:rPr>
            </w:pPr>
            <w:r w:rsidRPr="00AA32E1">
              <w:rPr>
                <w:rFonts w:cs="Calibri"/>
                <w:b/>
                <w:color w:val="000000"/>
                <w:sz w:val="24"/>
                <w:szCs w:val="24"/>
              </w:rPr>
              <w:t>Std. Deviation</w:t>
            </w:r>
          </w:p>
        </w:tc>
      </w:tr>
      <w:tr w:rsidR="005E263E" w:rsidRPr="00AA32E1" w14:paraId="1E5EEA59" w14:textId="77777777" w:rsidTr="000905AA">
        <w:trPr>
          <w:cantSplit/>
          <w:tblHeader/>
        </w:trPr>
        <w:tc>
          <w:tcPr>
            <w:tcW w:w="1302" w:type="pct"/>
            <w:shd w:val="clear" w:color="auto" w:fill="FFFFFF"/>
            <w:tcMar>
              <w:top w:w="30" w:type="dxa"/>
              <w:left w:w="30" w:type="dxa"/>
              <w:bottom w:w="30" w:type="dxa"/>
              <w:right w:w="30" w:type="dxa"/>
            </w:tcMar>
          </w:tcPr>
          <w:p w14:paraId="1BA0A33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BP1</w:t>
            </w:r>
          </w:p>
        </w:tc>
        <w:tc>
          <w:tcPr>
            <w:tcW w:w="417" w:type="pct"/>
            <w:shd w:val="clear" w:color="auto" w:fill="FFFFFF"/>
            <w:tcMar>
              <w:top w:w="30" w:type="dxa"/>
              <w:left w:w="30" w:type="dxa"/>
              <w:bottom w:w="30" w:type="dxa"/>
              <w:right w:w="30" w:type="dxa"/>
            </w:tcMar>
            <w:vAlign w:val="center"/>
          </w:tcPr>
          <w:p w14:paraId="7CA2466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7874AE7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2F55262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70A57EC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3.6232</w:t>
            </w:r>
          </w:p>
        </w:tc>
        <w:tc>
          <w:tcPr>
            <w:tcW w:w="1042" w:type="pct"/>
            <w:shd w:val="clear" w:color="auto" w:fill="FFFFFF"/>
            <w:tcMar>
              <w:top w:w="30" w:type="dxa"/>
              <w:left w:w="30" w:type="dxa"/>
              <w:bottom w:w="30" w:type="dxa"/>
              <w:right w:w="30" w:type="dxa"/>
            </w:tcMar>
            <w:vAlign w:val="center"/>
          </w:tcPr>
          <w:p w14:paraId="17FEA07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1.23790</w:t>
            </w:r>
          </w:p>
        </w:tc>
      </w:tr>
      <w:tr w:rsidR="005E263E" w:rsidRPr="00AA32E1" w14:paraId="3EE797E4" w14:textId="77777777" w:rsidTr="000905AA">
        <w:trPr>
          <w:cantSplit/>
          <w:tblHeader/>
        </w:trPr>
        <w:tc>
          <w:tcPr>
            <w:tcW w:w="1302" w:type="pct"/>
            <w:shd w:val="clear" w:color="auto" w:fill="FFFFFF"/>
            <w:tcMar>
              <w:top w:w="30" w:type="dxa"/>
              <w:left w:w="30" w:type="dxa"/>
              <w:bottom w:w="30" w:type="dxa"/>
              <w:right w:w="30" w:type="dxa"/>
            </w:tcMar>
          </w:tcPr>
          <w:p w14:paraId="3A51082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BP2</w:t>
            </w:r>
          </w:p>
        </w:tc>
        <w:tc>
          <w:tcPr>
            <w:tcW w:w="417" w:type="pct"/>
            <w:shd w:val="clear" w:color="auto" w:fill="FFFFFF"/>
            <w:tcMar>
              <w:top w:w="30" w:type="dxa"/>
              <w:left w:w="30" w:type="dxa"/>
              <w:bottom w:w="30" w:type="dxa"/>
              <w:right w:w="30" w:type="dxa"/>
            </w:tcMar>
            <w:vAlign w:val="center"/>
          </w:tcPr>
          <w:p w14:paraId="51B1FC3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342560C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18FDD4B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5CD6029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3.3478</w:t>
            </w:r>
          </w:p>
        </w:tc>
        <w:tc>
          <w:tcPr>
            <w:tcW w:w="1042" w:type="pct"/>
            <w:shd w:val="clear" w:color="auto" w:fill="FFFFFF"/>
            <w:tcMar>
              <w:top w:w="30" w:type="dxa"/>
              <w:left w:w="30" w:type="dxa"/>
              <w:bottom w:w="30" w:type="dxa"/>
              <w:right w:w="30" w:type="dxa"/>
            </w:tcMar>
            <w:vAlign w:val="center"/>
          </w:tcPr>
          <w:p w14:paraId="192F193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0.88826</w:t>
            </w:r>
          </w:p>
        </w:tc>
      </w:tr>
      <w:tr w:rsidR="005E263E" w:rsidRPr="00AA32E1" w14:paraId="66883BF3" w14:textId="77777777" w:rsidTr="000905AA">
        <w:trPr>
          <w:cantSplit/>
          <w:tblHeader/>
        </w:trPr>
        <w:tc>
          <w:tcPr>
            <w:tcW w:w="1302" w:type="pct"/>
            <w:shd w:val="clear" w:color="auto" w:fill="FFFFFF"/>
            <w:tcMar>
              <w:top w:w="30" w:type="dxa"/>
              <w:left w:w="30" w:type="dxa"/>
              <w:bottom w:w="30" w:type="dxa"/>
              <w:right w:w="30" w:type="dxa"/>
            </w:tcMar>
          </w:tcPr>
          <w:p w14:paraId="55BAED2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BP3</w:t>
            </w:r>
          </w:p>
        </w:tc>
        <w:tc>
          <w:tcPr>
            <w:tcW w:w="417" w:type="pct"/>
            <w:shd w:val="clear" w:color="auto" w:fill="FFFFFF"/>
            <w:tcMar>
              <w:top w:w="30" w:type="dxa"/>
              <w:left w:w="30" w:type="dxa"/>
              <w:bottom w:w="30" w:type="dxa"/>
              <w:right w:w="30" w:type="dxa"/>
            </w:tcMar>
            <w:vAlign w:val="center"/>
          </w:tcPr>
          <w:p w14:paraId="7F28DD8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5DC6DD7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312A968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49DD049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3.2319</w:t>
            </w:r>
          </w:p>
        </w:tc>
        <w:tc>
          <w:tcPr>
            <w:tcW w:w="1042" w:type="pct"/>
            <w:shd w:val="clear" w:color="auto" w:fill="FFFFFF"/>
            <w:tcMar>
              <w:top w:w="30" w:type="dxa"/>
              <w:left w:w="30" w:type="dxa"/>
              <w:bottom w:w="30" w:type="dxa"/>
              <w:right w:w="30" w:type="dxa"/>
            </w:tcMar>
            <w:vAlign w:val="center"/>
          </w:tcPr>
          <w:p w14:paraId="3F060F5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1.07300</w:t>
            </w:r>
          </w:p>
        </w:tc>
      </w:tr>
      <w:tr w:rsidR="005E263E" w:rsidRPr="00AA32E1" w14:paraId="1A45723A" w14:textId="77777777" w:rsidTr="000905AA">
        <w:trPr>
          <w:cantSplit/>
          <w:tblHeader/>
        </w:trPr>
        <w:tc>
          <w:tcPr>
            <w:tcW w:w="1302" w:type="pct"/>
            <w:shd w:val="clear" w:color="auto" w:fill="FFFFFF"/>
            <w:tcMar>
              <w:top w:w="30" w:type="dxa"/>
              <w:left w:w="30" w:type="dxa"/>
              <w:bottom w:w="30" w:type="dxa"/>
              <w:right w:w="30" w:type="dxa"/>
            </w:tcMar>
          </w:tcPr>
          <w:p w14:paraId="1370B8F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BP4</w:t>
            </w:r>
          </w:p>
        </w:tc>
        <w:tc>
          <w:tcPr>
            <w:tcW w:w="417" w:type="pct"/>
            <w:shd w:val="clear" w:color="auto" w:fill="FFFFFF"/>
            <w:tcMar>
              <w:top w:w="30" w:type="dxa"/>
              <w:left w:w="30" w:type="dxa"/>
              <w:bottom w:w="30" w:type="dxa"/>
              <w:right w:w="30" w:type="dxa"/>
            </w:tcMar>
            <w:vAlign w:val="center"/>
          </w:tcPr>
          <w:p w14:paraId="66748D7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206498E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4E4A9B0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1F293AF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3.5072</w:t>
            </w:r>
          </w:p>
        </w:tc>
        <w:tc>
          <w:tcPr>
            <w:tcW w:w="1042" w:type="pct"/>
            <w:shd w:val="clear" w:color="auto" w:fill="FFFFFF"/>
            <w:tcMar>
              <w:top w:w="30" w:type="dxa"/>
              <w:left w:w="30" w:type="dxa"/>
              <w:bottom w:w="30" w:type="dxa"/>
              <w:right w:w="30" w:type="dxa"/>
            </w:tcMar>
            <w:vAlign w:val="center"/>
          </w:tcPr>
          <w:p w14:paraId="0BC8327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1.11965</w:t>
            </w:r>
          </w:p>
        </w:tc>
      </w:tr>
      <w:tr w:rsidR="005E263E" w:rsidRPr="00AA32E1" w14:paraId="035C1014" w14:textId="77777777" w:rsidTr="000905AA">
        <w:trPr>
          <w:cantSplit/>
          <w:tblHeader/>
        </w:trPr>
        <w:tc>
          <w:tcPr>
            <w:tcW w:w="1302" w:type="pct"/>
            <w:shd w:val="clear" w:color="auto" w:fill="FFFFFF"/>
            <w:tcMar>
              <w:top w:w="30" w:type="dxa"/>
              <w:left w:w="30" w:type="dxa"/>
              <w:bottom w:w="30" w:type="dxa"/>
              <w:right w:w="30" w:type="dxa"/>
            </w:tcMar>
          </w:tcPr>
          <w:p w14:paraId="753BD0D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BP5</w:t>
            </w:r>
          </w:p>
        </w:tc>
        <w:tc>
          <w:tcPr>
            <w:tcW w:w="417" w:type="pct"/>
            <w:shd w:val="clear" w:color="auto" w:fill="FFFFFF"/>
            <w:tcMar>
              <w:top w:w="30" w:type="dxa"/>
              <w:left w:w="30" w:type="dxa"/>
              <w:bottom w:w="30" w:type="dxa"/>
              <w:right w:w="30" w:type="dxa"/>
            </w:tcMar>
            <w:vAlign w:val="center"/>
          </w:tcPr>
          <w:p w14:paraId="12C8BE8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3A41E77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2.00</w:t>
            </w:r>
          </w:p>
        </w:tc>
        <w:tc>
          <w:tcPr>
            <w:tcW w:w="781" w:type="pct"/>
            <w:shd w:val="clear" w:color="auto" w:fill="FFFFFF"/>
            <w:tcMar>
              <w:top w:w="30" w:type="dxa"/>
              <w:left w:w="30" w:type="dxa"/>
              <w:bottom w:w="30" w:type="dxa"/>
              <w:right w:w="30" w:type="dxa"/>
            </w:tcMar>
            <w:vAlign w:val="center"/>
          </w:tcPr>
          <w:p w14:paraId="0D5A3A7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5982C15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3.8551</w:t>
            </w:r>
          </w:p>
        </w:tc>
        <w:tc>
          <w:tcPr>
            <w:tcW w:w="1042" w:type="pct"/>
            <w:shd w:val="clear" w:color="auto" w:fill="FFFFFF"/>
            <w:tcMar>
              <w:top w:w="30" w:type="dxa"/>
              <w:left w:w="30" w:type="dxa"/>
              <w:bottom w:w="30" w:type="dxa"/>
              <w:right w:w="30" w:type="dxa"/>
            </w:tcMar>
            <w:vAlign w:val="center"/>
          </w:tcPr>
          <w:p w14:paraId="083F66E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0.95910</w:t>
            </w:r>
          </w:p>
        </w:tc>
      </w:tr>
      <w:tr w:rsidR="005E263E" w:rsidRPr="00AA32E1" w14:paraId="1B62CBBD" w14:textId="77777777" w:rsidTr="000905AA">
        <w:trPr>
          <w:cantSplit/>
          <w:tblHeader/>
        </w:trPr>
        <w:tc>
          <w:tcPr>
            <w:tcW w:w="1302" w:type="pct"/>
            <w:shd w:val="clear" w:color="auto" w:fill="FFFFFF"/>
            <w:tcMar>
              <w:top w:w="30" w:type="dxa"/>
              <w:left w:w="30" w:type="dxa"/>
              <w:bottom w:w="30" w:type="dxa"/>
              <w:right w:w="30" w:type="dxa"/>
            </w:tcMar>
          </w:tcPr>
          <w:p w14:paraId="7DE1866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BP6</w:t>
            </w:r>
          </w:p>
        </w:tc>
        <w:tc>
          <w:tcPr>
            <w:tcW w:w="417" w:type="pct"/>
            <w:shd w:val="clear" w:color="auto" w:fill="FFFFFF"/>
            <w:tcMar>
              <w:top w:w="30" w:type="dxa"/>
              <w:left w:w="30" w:type="dxa"/>
              <w:bottom w:w="30" w:type="dxa"/>
              <w:right w:w="30" w:type="dxa"/>
            </w:tcMar>
            <w:vAlign w:val="center"/>
          </w:tcPr>
          <w:p w14:paraId="4FEE5E5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06A6BEC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45F1731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5ADA20C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3.4203</w:t>
            </w:r>
          </w:p>
        </w:tc>
        <w:tc>
          <w:tcPr>
            <w:tcW w:w="1042" w:type="pct"/>
            <w:shd w:val="clear" w:color="auto" w:fill="FFFFFF"/>
            <w:tcMar>
              <w:top w:w="30" w:type="dxa"/>
              <w:left w:w="30" w:type="dxa"/>
              <w:bottom w:w="30" w:type="dxa"/>
              <w:right w:w="30" w:type="dxa"/>
            </w:tcMar>
            <w:vAlign w:val="center"/>
          </w:tcPr>
          <w:p w14:paraId="7D28A58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0.92999</w:t>
            </w:r>
          </w:p>
        </w:tc>
      </w:tr>
      <w:tr w:rsidR="005E263E" w:rsidRPr="00AA32E1" w14:paraId="41BD4AF9" w14:textId="77777777" w:rsidTr="000905AA">
        <w:trPr>
          <w:cantSplit/>
          <w:tblHeader/>
        </w:trPr>
        <w:tc>
          <w:tcPr>
            <w:tcW w:w="1302" w:type="pct"/>
            <w:shd w:val="clear" w:color="auto" w:fill="FFFFFF"/>
            <w:tcMar>
              <w:top w:w="30" w:type="dxa"/>
              <w:left w:w="30" w:type="dxa"/>
              <w:bottom w:w="30" w:type="dxa"/>
              <w:right w:w="30" w:type="dxa"/>
            </w:tcMar>
          </w:tcPr>
          <w:p w14:paraId="382EE53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BP7</w:t>
            </w:r>
          </w:p>
        </w:tc>
        <w:tc>
          <w:tcPr>
            <w:tcW w:w="417" w:type="pct"/>
            <w:shd w:val="clear" w:color="auto" w:fill="FFFFFF"/>
            <w:tcMar>
              <w:top w:w="30" w:type="dxa"/>
              <w:left w:w="30" w:type="dxa"/>
              <w:bottom w:w="30" w:type="dxa"/>
              <w:right w:w="30" w:type="dxa"/>
            </w:tcMar>
            <w:vAlign w:val="center"/>
          </w:tcPr>
          <w:p w14:paraId="7A1BEA0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1BEE359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1C89842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629F471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3.2464</w:t>
            </w:r>
          </w:p>
        </w:tc>
        <w:tc>
          <w:tcPr>
            <w:tcW w:w="1042" w:type="pct"/>
            <w:shd w:val="clear" w:color="auto" w:fill="FFFFFF"/>
            <w:tcMar>
              <w:top w:w="30" w:type="dxa"/>
              <w:left w:w="30" w:type="dxa"/>
              <w:bottom w:w="30" w:type="dxa"/>
              <w:right w:w="30" w:type="dxa"/>
            </w:tcMar>
            <w:vAlign w:val="center"/>
          </w:tcPr>
          <w:p w14:paraId="1376704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0.92999</w:t>
            </w:r>
          </w:p>
        </w:tc>
      </w:tr>
      <w:tr w:rsidR="005E263E" w:rsidRPr="00AA32E1" w14:paraId="19F16917" w14:textId="77777777" w:rsidTr="000905AA">
        <w:trPr>
          <w:cantSplit/>
          <w:tblHeader/>
        </w:trPr>
        <w:tc>
          <w:tcPr>
            <w:tcW w:w="1302" w:type="pct"/>
            <w:shd w:val="clear" w:color="auto" w:fill="FFFFFF"/>
            <w:tcMar>
              <w:top w:w="30" w:type="dxa"/>
              <w:left w:w="30" w:type="dxa"/>
              <w:bottom w:w="30" w:type="dxa"/>
              <w:right w:w="30" w:type="dxa"/>
            </w:tcMar>
          </w:tcPr>
          <w:p w14:paraId="15F218B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BP8</w:t>
            </w:r>
          </w:p>
        </w:tc>
        <w:tc>
          <w:tcPr>
            <w:tcW w:w="417" w:type="pct"/>
            <w:shd w:val="clear" w:color="auto" w:fill="FFFFFF"/>
            <w:tcMar>
              <w:top w:w="30" w:type="dxa"/>
              <w:left w:w="30" w:type="dxa"/>
              <w:bottom w:w="30" w:type="dxa"/>
              <w:right w:w="30" w:type="dxa"/>
            </w:tcMar>
            <w:vAlign w:val="center"/>
          </w:tcPr>
          <w:p w14:paraId="03ABBBD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6E50FA6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33A2DAB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8.00</w:t>
            </w:r>
          </w:p>
        </w:tc>
        <w:tc>
          <w:tcPr>
            <w:tcW w:w="833" w:type="pct"/>
            <w:shd w:val="clear" w:color="auto" w:fill="FFFFFF"/>
            <w:tcMar>
              <w:top w:w="30" w:type="dxa"/>
              <w:left w:w="30" w:type="dxa"/>
              <w:bottom w:w="30" w:type="dxa"/>
              <w:right w:w="30" w:type="dxa"/>
            </w:tcMar>
            <w:vAlign w:val="center"/>
          </w:tcPr>
          <w:p w14:paraId="09AE942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3.2899</w:t>
            </w:r>
          </w:p>
        </w:tc>
        <w:tc>
          <w:tcPr>
            <w:tcW w:w="1042" w:type="pct"/>
            <w:shd w:val="clear" w:color="auto" w:fill="FFFFFF"/>
            <w:tcMar>
              <w:top w:w="30" w:type="dxa"/>
              <w:left w:w="30" w:type="dxa"/>
              <w:bottom w:w="30" w:type="dxa"/>
              <w:right w:w="30" w:type="dxa"/>
            </w:tcMar>
            <w:vAlign w:val="center"/>
          </w:tcPr>
          <w:p w14:paraId="0976499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1.16444</w:t>
            </w:r>
          </w:p>
        </w:tc>
      </w:tr>
      <w:tr w:rsidR="005E263E" w:rsidRPr="00AA32E1" w14:paraId="2A9E5D92" w14:textId="77777777" w:rsidTr="000905AA">
        <w:trPr>
          <w:cantSplit/>
          <w:trHeight w:val="40"/>
          <w:tblHeader/>
        </w:trPr>
        <w:tc>
          <w:tcPr>
            <w:tcW w:w="1302" w:type="pct"/>
            <w:shd w:val="clear" w:color="auto" w:fill="FFFFFF"/>
            <w:tcMar>
              <w:top w:w="30" w:type="dxa"/>
              <w:left w:w="30" w:type="dxa"/>
              <w:bottom w:w="30" w:type="dxa"/>
              <w:right w:w="30" w:type="dxa"/>
            </w:tcMar>
          </w:tcPr>
          <w:p w14:paraId="5D59654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BP9</w:t>
            </w:r>
          </w:p>
        </w:tc>
        <w:tc>
          <w:tcPr>
            <w:tcW w:w="417" w:type="pct"/>
            <w:shd w:val="clear" w:color="auto" w:fill="FFFFFF"/>
            <w:tcMar>
              <w:top w:w="30" w:type="dxa"/>
              <w:left w:w="30" w:type="dxa"/>
              <w:bottom w:w="30" w:type="dxa"/>
              <w:right w:w="30" w:type="dxa"/>
            </w:tcMar>
            <w:vAlign w:val="center"/>
          </w:tcPr>
          <w:p w14:paraId="498F516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1A32928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212BB15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243F12D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2.8696</w:t>
            </w:r>
          </w:p>
        </w:tc>
        <w:tc>
          <w:tcPr>
            <w:tcW w:w="1042" w:type="pct"/>
            <w:shd w:val="clear" w:color="auto" w:fill="FFFFFF"/>
            <w:tcMar>
              <w:top w:w="30" w:type="dxa"/>
              <w:left w:w="30" w:type="dxa"/>
              <w:bottom w:w="30" w:type="dxa"/>
              <w:right w:w="30" w:type="dxa"/>
            </w:tcMar>
            <w:vAlign w:val="center"/>
          </w:tcPr>
          <w:p w14:paraId="22C2EA2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1.16206</w:t>
            </w:r>
          </w:p>
        </w:tc>
      </w:tr>
      <w:tr w:rsidR="005E263E" w:rsidRPr="00AA32E1" w14:paraId="3A8B007C" w14:textId="77777777" w:rsidTr="000905AA">
        <w:trPr>
          <w:cantSplit/>
          <w:tblHeader/>
        </w:trPr>
        <w:tc>
          <w:tcPr>
            <w:tcW w:w="1302" w:type="pct"/>
            <w:shd w:val="clear" w:color="auto" w:fill="FFFFFF"/>
            <w:tcMar>
              <w:top w:w="30" w:type="dxa"/>
              <w:left w:w="30" w:type="dxa"/>
              <w:bottom w:w="30" w:type="dxa"/>
              <w:right w:w="30" w:type="dxa"/>
            </w:tcMar>
          </w:tcPr>
          <w:p w14:paraId="18787DB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BP10</w:t>
            </w:r>
          </w:p>
        </w:tc>
        <w:tc>
          <w:tcPr>
            <w:tcW w:w="417" w:type="pct"/>
            <w:shd w:val="clear" w:color="auto" w:fill="FFFFFF"/>
            <w:tcMar>
              <w:top w:w="30" w:type="dxa"/>
              <w:left w:w="30" w:type="dxa"/>
              <w:bottom w:w="30" w:type="dxa"/>
              <w:right w:w="30" w:type="dxa"/>
            </w:tcMar>
            <w:vAlign w:val="center"/>
          </w:tcPr>
          <w:p w14:paraId="617C6B0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7D224A7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2790E65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7CE2844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3.1739</w:t>
            </w:r>
          </w:p>
        </w:tc>
        <w:tc>
          <w:tcPr>
            <w:tcW w:w="1042" w:type="pct"/>
            <w:shd w:val="clear" w:color="auto" w:fill="FFFFFF"/>
            <w:tcMar>
              <w:top w:w="30" w:type="dxa"/>
              <w:left w:w="30" w:type="dxa"/>
              <w:bottom w:w="30" w:type="dxa"/>
              <w:right w:w="30" w:type="dxa"/>
            </w:tcMar>
            <w:vAlign w:val="center"/>
          </w:tcPr>
          <w:p w14:paraId="18F999B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0.98454</w:t>
            </w:r>
          </w:p>
        </w:tc>
      </w:tr>
      <w:tr w:rsidR="005E263E" w:rsidRPr="00AA32E1" w14:paraId="1A0D38F4" w14:textId="77777777" w:rsidTr="000905AA">
        <w:trPr>
          <w:cantSplit/>
          <w:tblHeader/>
        </w:trPr>
        <w:tc>
          <w:tcPr>
            <w:tcW w:w="1302" w:type="pct"/>
            <w:shd w:val="clear" w:color="auto" w:fill="FFFFFF"/>
            <w:tcMar>
              <w:top w:w="30" w:type="dxa"/>
              <w:left w:w="30" w:type="dxa"/>
              <w:bottom w:w="30" w:type="dxa"/>
              <w:right w:w="30" w:type="dxa"/>
            </w:tcMar>
          </w:tcPr>
          <w:p w14:paraId="019E6A5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BP11</w:t>
            </w:r>
          </w:p>
        </w:tc>
        <w:tc>
          <w:tcPr>
            <w:tcW w:w="417" w:type="pct"/>
            <w:shd w:val="clear" w:color="auto" w:fill="FFFFFF"/>
            <w:tcMar>
              <w:top w:w="30" w:type="dxa"/>
              <w:left w:w="30" w:type="dxa"/>
              <w:bottom w:w="30" w:type="dxa"/>
              <w:right w:w="30" w:type="dxa"/>
            </w:tcMar>
            <w:vAlign w:val="center"/>
          </w:tcPr>
          <w:p w14:paraId="3561740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76ACF8C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64D0AD2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833" w:type="pct"/>
            <w:shd w:val="clear" w:color="auto" w:fill="FFFFFF"/>
            <w:tcMar>
              <w:top w:w="30" w:type="dxa"/>
              <w:left w:w="30" w:type="dxa"/>
              <w:bottom w:w="30" w:type="dxa"/>
              <w:right w:w="30" w:type="dxa"/>
            </w:tcMar>
            <w:vAlign w:val="center"/>
          </w:tcPr>
          <w:p w14:paraId="349015C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3.2319</w:t>
            </w:r>
          </w:p>
        </w:tc>
        <w:tc>
          <w:tcPr>
            <w:tcW w:w="1042" w:type="pct"/>
            <w:shd w:val="clear" w:color="auto" w:fill="FFFFFF"/>
            <w:tcMar>
              <w:top w:w="30" w:type="dxa"/>
              <w:left w:w="30" w:type="dxa"/>
              <w:bottom w:w="30" w:type="dxa"/>
              <w:right w:w="30" w:type="dxa"/>
            </w:tcMar>
            <w:vAlign w:val="center"/>
          </w:tcPr>
          <w:p w14:paraId="16A02DE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1.04523</w:t>
            </w:r>
          </w:p>
        </w:tc>
      </w:tr>
      <w:tr w:rsidR="005E263E" w:rsidRPr="00AA32E1" w14:paraId="296FA51D" w14:textId="77777777" w:rsidTr="000905AA">
        <w:trPr>
          <w:cantSplit/>
          <w:tblHeader/>
        </w:trPr>
        <w:tc>
          <w:tcPr>
            <w:tcW w:w="1302" w:type="pct"/>
            <w:shd w:val="clear" w:color="auto" w:fill="FFFFFF"/>
            <w:tcMar>
              <w:top w:w="30" w:type="dxa"/>
              <w:left w:w="30" w:type="dxa"/>
              <w:bottom w:w="30" w:type="dxa"/>
              <w:right w:w="30" w:type="dxa"/>
            </w:tcMar>
          </w:tcPr>
          <w:p w14:paraId="084EBA2B"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Grand Total</w:t>
            </w:r>
          </w:p>
        </w:tc>
        <w:tc>
          <w:tcPr>
            <w:tcW w:w="417" w:type="pct"/>
            <w:shd w:val="clear" w:color="auto" w:fill="FFFFFF"/>
            <w:tcMar>
              <w:top w:w="30" w:type="dxa"/>
              <w:left w:w="30" w:type="dxa"/>
              <w:bottom w:w="30" w:type="dxa"/>
              <w:right w:w="30" w:type="dxa"/>
            </w:tcMar>
            <w:vAlign w:val="center"/>
          </w:tcPr>
          <w:p w14:paraId="4F48A8B6"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69</w:t>
            </w:r>
          </w:p>
        </w:tc>
        <w:tc>
          <w:tcPr>
            <w:tcW w:w="625" w:type="pct"/>
            <w:shd w:val="clear" w:color="auto" w:fill="FFFFFF"/>
            <w:tcMar>
              <w:top w:w="30" w:type="dxa"/>
              <w:left w:w="30" w:type="dxa"/>
              <w:bottom w:w="30" w:type="dxa"/>
              <w:right w:w="30" w:type="dxa"/>
            </w:tcMar>
            <w:vAlign w:val="center"/>
          </w:tcPr>
          <w:p w14:paraId="317D2496"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1.82</w:t>
            </w:r>
          </w:p>
        </w:tc>
        <w:tc>
          <w:tcPr>
            <w:tcW w:w="781" w:type="pct"/>
            <w:shd w:val="clear" w:color="auto" w:fill="FFFFFF"/>
            <w:tcMar>
              <w:top w:w="30" w:type="dxa"/>
              <w:left w:w="30" w:type="dxa"/>
              <w:bottom w:w="30" w:type="dxa"/>
              <w:right w:w="30" w:type="dxa"/>
            </w:tcMar>
            <w:vAlign w:val="center"/>
          </w:tcPr>
          <w:p w14:paraId="28F1597F"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4.54</w:t>
            </w:r>
          </w:p>
        </w:tc>
        <w:tc>
          <w:tcPr>
            <w:tcW w:w="833" w:type="pct"/>
            <w:shd w:val="clear" w:color="auto" w:fill="FFFFFF"/>
            <w:tcMar>
              <w:top w:w="30" w:type="dxa"/>
              <w:left w:w="30" w:type="dxa"/>
              <w:bottom w:w="30" w:type="dxa"/>
              <w:right w:w="30" w:type="dxa"/>
            </w:tcMar>
            <w:vAlign w:val="center"/>
          </w:tcPr>
          <w:p w14:paraId="4E033028"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3.3452</w:t>
            </w:r>
          </w:p>
        </w:tc>
        <w:tc>
          <w:tcPr>
            <w:tcW w:w="1042" w:type="pct"/>
            <w:shd w:val="clear" w:color="auto" w:fill="FFFFFF"/>
            <w:tcMar>
              <w:top w:w="30" w:type="dxa"/>
              <w:left w:w="30" w:type="dxa"/>
              <w:bottom w:w="30" w:type="dxa"/>
              <w:right w:w="30" w:type="dxa"/>
            </w:tcMar>
            <w:vAlign w:val="center"/>
          </w:tcPr>
          <w:p w14:paraId="6B5B5242"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0.64480</w:t>
            </w:r>
          </w:p>
        </w:tc>
      </w:tr>
    </w:tbl>
    <w:p w14:paraId="3B1E1C2F" w14:textId="77777777" w:rsidR="005E263E" w:rsidRPr="00AA32E1" w:rsidRDefault="005E263E" w:rsidP="000905AA">
      <w:pPr>
        <w:keepNext/>
        <w:autoSpaceDE w:val="0"/>
        <w:autoSpaceDN w:val="0"/>
        <w:adjustRightInd w:val="0"/>
        <w:spacing w:after="0"/>
        <w:jc w:val="both"/>
        <w:rPr>
          <w:rFonts w:ascii="Calibri" w:hAnsi="Calibri" w:cs="Calibri"/>
          <w:sz w:val="24"/>
          <w:szCs w:val="24"/>
        </w:rPr>
      </w:pPr>
      <w:r w:rsidRPr="00AA32E1">
        <w:rPr>
          <w:rFonts w:ascii="Calibri" w:hAnsi="Calibri" w:cs="Calibri"/>
          <w:b/>
          <w:i/>
          <w:sz w:val="24"/>
          <w:szCs w:val="24"/>
        </w:rPr>
        <w:t>Source:</w:t>
      </w:r>
      <w:r w:rsidRPr="00AA32E1">
        <w:rPr>
          <w:rFonts w:ascii="Calibri" w:hAnsi="Calibri" w:cs="Calibri"/>
          <w:sz w:val="24"/>
          <w:szCs w:val="24"/>
        </w:rPr>
        <w:t xml:space="preserve"> Primary Data-Questionnaire</w:t>
      </w:r>
    </w:p>
    <w:p w14:paraId="0D2BF7F7" w14:textId="77777777" w:rsidR="005E263E" w:rsidRPr="00AA32E1" w:rsidRDefault="005E263E" w:rsidP="005E263E">
      <w:pPr>
        <w:pStyle w:val="NoSpacing"/>
        <w:ind w:firstLine="567"/>
        <w:jc w:val="both"/>
        <w:rPr>
          <w:rFonts w:cs="Calibri"/>
          <w:sz w:val="24"/>
          <w:szCs w:val="24"/>
        </w:rPr>
      </w:pPr>
    </w:p>
    <w:p w14:paraId="54B15BE6" w14:textId="77777777" w:rsidR="000905AA" w:rsidRDefault="005E263E" w:rsidP="000905AA">
      <w:pPr>
        <w:spacing w:after="0" w:line="240" w:lineRule="auto"/>
        <w:contextualSpacing/>
        <w:jc w:val="both"/>
        <w:rPr>
          <w:rFonts w:ascii="Calibri" w:hAnsi="Calibri" w:cs="Calibri"/>
          <w:sz w:val="24"/>
          <w:szCs w:val="24"/>
        </w:rPr>
      </w:pPr>
      <w:r w:rsidRPr="000905AA">
        <w:rPr>
          <w:rFonts w:ascii="Calibri" w:hAnsi="Calibri" w:cs="Calibri"/>
          <w:sz w:val="24"/>
          <w:szCs w:val="24"/>
        </w:rPr>
        <w:t>The average value for participation obtained was 3.3452 with a standard deviation of 0.64480. This means that most of the respondents were ranging from three and above and</w:t>
      </w:r>
      <w:r w:rsidR="000905AA" w:rsidRPr="000905AA">
        <w:rPr>
          <w:rFonts w:ascii="Calibri" w:hAnsi="Calibri" w:cs="Calibri"/>
          <w:sz w:val="24"/>
          <w:szCs w:val="24"/>
        </w:rPr>
        <w:t xml:space="preserve"> </w:t>
      </w:r>
      <w:r w:rsidRPr="000905AA">
        <w:rPr>
          <w:rFonts w:ascii="Calibri" w:hAnsi="Calibri" w:cs="Calibri"/>
          <w:sz w:val="24"/>
          <w:szCs w:val="24"/>
        </w:rPr>
        <w:t xml:space="preserve">agreed that there was satisfactory level of participation in   budget preparation in the university. The minimum value was 1.82 (disagree) with a maximum of 4.54 (Strongly agree). </w:t>
      </w:r>
    </w:p>
    <w:p w14:paraId="54F2DDAC" w14:textId="77777777" w:rsidR="000905AA" w:rsidRDefault="000905AA" w:rsidP="000905AA">
      <w:pPr>
        <w:spacing w:after="0" w:line="240" w:lineRule="auto"/>
        <w:contextualSpacing/>
        <w:jc w:val="both"/>
        <w:rPr>
          <w:rFonts w:ascii="Calibri" w:hAnsi="Calibri" w:cs="Calibri"/>
          <w:sz w:val="24"/>
          <w:szCs w:val="24"/>
        </w:rPr>
      </w:pPr>
    </w:p>
    <w:p w14:paraId="7217FA7F" w14:textId="77777777" w:rsidR="000905AA" w:rsidRDefault="005E263E" w:rsidP="000905AA">
      <w:pPr>
        <w:spacing w:after="0" w:line="240" w:lineRule="auto"/>
        <w:contextualSpacing/>
        <w:jc w:val="both"/>
        <w:rPr>
          <w:rFonts w:ascii="Calibri" w:hAnsi="Calibri" w:cs="Calibri"/>
          <w:b/>
          <w:i/>
          <w:sz w:val="24"/>
          <w:szCs w:val="24"/>
        </w:rPr>
      </w:pPr>
      <w:r w:rsidRPr="00AA32E1">
        <w:rPr>
          <w:rFonts w:ascii="Calibri" w:hAnsi="Calibri" w:cs="Calibri"/>
          <w:b/>
          <w:i/>
          <w:sz w:val="24"/>
          <w:szCs w:val="24"/>
        </w:rPr>
        <w:t xml:space="preserve">Budget </w:t>
      </w:r>
      <w:r w:rsidR="000905AA" w:rsidRPr="00AA32E1">
        <w:rPr>
          <w:rFonts w:ascii="Calibri" w:hAnsi="Calibri" w:cs="Calibri"/>
          <w:b/>
          <w:i/>
          <w:sz w:val="24"/>
          <w:szCs w:val="24"/>
        </w:rPr>
        <w:t>Goal Clarity</w:t>
      </w:r>
    </w:p>
    <w:p w14:paraId="7F241DEF" w14:textId="7D599E39" w:rsidR="005E263E" w:rsidRPr="00AA32E1" w:rsidRDefault="005E263E" w:rsidP="000905AA">
      <w:pPr>
        <w:spacing w:after="0" w:line="240" w:lineRule="auto"/>
        <w:contextualSpacing/>
        <w:jc w:val="both"/>
        <w:rPr>
          <w:rFonts w:ascii="Calibri" w:hAnsi="Calibri" w:cs="Calibri"/>
          <w:sz w:val="24"/>
          <w:szCs w:val="24"/>
        </w:rPr>
      </w:pPr>
      <w:r w:rsidRPr="00AA32E1">
        <w:rPr>
          <w:rFonts w:ascii="Calibri" w:hAnsi="Calibri" w:cs="Calibri"/>
          <w:sz w:val="24"/>
          <w:szCs w:val="24"/>
        </w:rPr>
        <w:t>The results in Table 4 below were generated using descriptive statistics in order to explore the degree of clarity of budget goal in the departments.</w:t>
      </w:r>
    </w:p>
    <w:p w14:paraId="136C2540" w14:textId="77777777" w:rsidR="000905AA" w:rsidRPr="000905AA" w:rsidRDefault="005E263E" w:rsidP="005E263E">
      <w:pPr>
        <w:keepNext/>
        <w:autoSpaceDE w:val="0"/>
        <w:autoSpaceDN w:val="0"/>
        <w:adjustRightInd w:val="0"/>
        <w:spacing w:after="0" w:line="240" w:lineRule="auto"/>
        <w:jc w:val="both"/>
        <w:rPr>
          <w:rFonts w:ascii="Calibri" w:hAnsi="Calibri" w:cs="Calibri"/>
          <w:iCs/>
          <w:sz w:val="24"/>
          <w:szCs w:val="24"/>
        </w:rPr>
      </w:pPr>
      <w:r w:rsidRPr="000905AA">
        <w:rPr>
          <w:rFonts w:ascii="Calibri" w:hAnsi="Calibri" w:cs="Calibri"/>
          <w:iCs/>
          <w:sz w:val="24"/>
          <w:szCs w:val="24"/>
        </w:rPr>
        <w:lastRenderedPageBreak/>
        <w:t>Table 4</w:t>
      </w:r>
    </w:p>
    <w:p w14:paraId="58B945B4" w14:textId="55575BDE" w:rsidR="005E263E" w:rsidRPr="000905AA" w:rsidRDefault="005E263E" w:rsidP="005E263E">
      <w:pPr>
        <w:keepNext/>
        <w:autoSpaceDE w:val="0"/>
        <w:autoSpaceDN w:val="0"/>
        <w:adjustRightInd w:val="0"/>
        <w:spacing w:after="0" w:line="240" w:lineRule="auto"/>
        <w:jc w:val="both"/>
        <w:rPr>
          <w:rFonts w:ascii="Calibri" w:hAnsi="Calibri" w:cs="Calibri"/>
          <w:i/>
          <w:iCs/>
          <w:sz w:val="24"/>
          <w:szCs w:val="24"/>
        </w:rPr>
      </w:pPr>
      <w:r w:rsidRPr="000905AA">
        <w:rPr>
          <w:rFonts w:ascii="Calibri" w:hAnsi="Calibri" w:cs="Calibri"/>
          <w:i/>
          <w:iCs/>
          <w:sz w:val="24"/>
          <w:szCs w:val="24"/>
        </w:rPr>
        <w:t>Descriptive Statistic on Budget Goal Clarity (BGC)</w:t>
      </w:r>
    </w:p>
    <w:tbl>
      <w:tblPr>
        <w:tblpPr w:leftFromText="180" w:rightFromText="180" w:vertAnchor="text" w:horzAnchor="margin" w:tblpXSpec="center" w:tblpY="3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48"/>
        <w:gridCol w:w="752"/>
        <w:gridCol w:w="1127"/>
        <w:gridCol w:w="1502"/>
        <w:gridCol w:w="1408"/>
        <w:gridCol w:w="1879"/>
      </w:tblGrid>
      <w:tr w:rsidR="005E263E" w:rsidRPr="00AA32E1" w14:paraId="11EDD1DF" w14:textId="77777777" w:rsidTr="000905AA">
        <w:trPr>
          <w:cantSplit/>
          <w:tblHeader/>
        </w:trPr>
        <w:tc>
          <w:tcPr>
            <w:tcW w:w="1302" w:type="pct"/>
            <w:shd w:val="clear" w:color="auto" w:fill="FFFFFF"/>
            <w:tcMar>
              <w:top w:w="30" w:type="dxa"/>
              <w:left w:w="30" w:type="dxa"/>
              <w:bottom w:w="30" w:type="dxa"/>
              <w:right w:w="30" w:type="dxa"/>
            </w:tcMar>
          </w:tcPr>
          <w:p w14:paraId="56B3E727" w14:textId="77777777" w:rsidR="005E263E" w:rsidRPr="00AA32E1" w:rsidRDefault="005E263E" w:rsidP="00D25C9C">
            <w:pPr>
              <w:keepNext/>
              <w:autoSpaceDE w:val="0"/>
              <w:autoSpaceDN w:val="0"/>
              <w:adjustRightInd w:val="0"/>
              <w:spacing w:after="0" w:line="240" w:lineRule="auto"/>
              <w:jc w:val="both"/>
              <w:rPr>
                <w:rFonts w:ascii="Calibri" w:hAnsi="Calibri" w:cs="Calibri"/>
                <w:b/>
                <w:sz w:val="24"/>
                <w:szCs w:val="24"/>
              </w:rPr>
            </w:pPr>
            <w:r w:rsidRPr="00AA32E1">
              <w:rPr>
                <w:rFonts w:ascii="Calibri" w:hAnsi="Calibri" w:cs="Calibri"/>
                <w:b/>
                <w:sz w:val="24"/>
                <w:szCs w:val="24"/>
              </w:rPr>
              <w:t>Variable</w:t>
            </w:r>
          </w:p>
        </w:tc>
        <w:tc>
          <w:tcPr>
            <w:tcW w:w="417" w:type="pct"/>
            <w:shd w:val="clear" w:color="auto" w:fill="FFFFFF"/>
            <w:tcMar>
              <w:top w:w="30" w:type="dxa"/>
              <w:left w:w="30" w:type="dxa"/>
              <w:bottom w:w="30" w:type="dxa"/>
              <w:right w:w="30" w:type="dxa"/>
            </w:tcMar>
            <w:vAlign w:val="bottom"/>
          </w:tcPr>
          <w:p w14:paraId="4EB79810"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N</w:t>
            </w:r>
          </w:p>
        </w:tc>
        <w:tc>
          <w:tcPr>
            <w:tcW w:w="625" w:type="pct"/>
            <w:shd w:val="clear" w:color="auto" w:fill="FFFFFF"/>
            <w:tcMar>
              <w:top w:w="30" w:type="dxa"/>
              <w:left w:w="30" w:type="dxa"/>
              <w:bottom w:w="30" w:type="dxa"/>
              <w:right w:w="30" w:type="dxa"/>
            </w:tcMar>
            <w:vAlign w:val="bottom"/>
          </w:tcPr>
          <w:p w14:paraId="74516FEE"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Minimum</w:t>
            </w:r>
          </w:p>
        </w:tc>
        <w:tc>
          <w:tcPr>
            <w:tcW w:w="833" w:type="pct"/>
            <w:shd w:val="clear" w:color="auto" w:fill="FFFFFF"/>
            <w:tcMar>
              <w:top w:w="30" w:type="dxa"/>
              <w:left w:w="30" w:type="dxa"/>
              <w:bottom w:w="30" w:type="dxa"/>
              <w:right w:w="30" w:type="dxa"/>
            </w:tcMar>
            <w:vAlign w:val="bottom"/>
          </w:tcPr>
          <w:p w14:paraId="734000A8"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Maximum</w:t>
            </w:r>
          </w:p>
        </w:tc>
        <w:tc>
          <w:tcPr>
            <w:tcW w:w="781" w:type="pct"/>
            <w:shd w:val="clear" w:color="auto" w:fill="FFFFFF"/>
            <w:tcMar>
              <w:top w:w="30" w:type="dxa"/>
              <w:left w:w="30" w:type="dxa"/>
              <w:bottom w:w="30" w:type="dxa"/>
              <w:right w:w="30" w:type="dxa"/>
            </w:tcMar>
            <w:vAlign w:val="bottom"/>
          </w:tcPr>
          <w:p w14:paraId="79662F54"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Mean</w:t>
            </w:r>
          </w:p>
        </w:tc>
        <w:tc>
          <w:tcPr>
            <w:tcW w:w="1042" w:type="pct"/>
            <w:shd w:val="clear" w:color="auto" w:fill="FFFFFF"/>
            <w:tcMar>
              <w:top w:w="30" w:type="dxa"/>
              <w:left w:w="30" w:type="dxa"/>
              <w:bottom w:w="30" w:type="dxa"/>
              <w:right w:w="30" w:type="dxa"/>
            </w:tcMar>
            <w:vAlign w:val="bottom"/>
          </w:tcPr>
          <w:p w14:paraId="6032A4EC"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Std. Deviation</w:t>
            </w:r>
          </w:p>
        </w:tc>
      </w:tr>
      <w:tr w:rsidR="005E263E" w:rsidRPr="00AA32E1" w14:paraId="3089D286" w14:textId="77777777" w:rsidTr="000905AA">
        <w:trPr>
          <w:cantSplit/>
          <w:tblHeader/>
        </w:trPr>
        <w:tc>
          <w:tcPr>
            <w:tcW w:w="1302" w:type="pct"/>
            <w:shd w:val="clear" w:color="auto" w:fill="FFFFFF"/>
            <w:tcMar>
              <w:top w:w="30" w:type="dxa"/>
              <w:left w:w="30" w:type="dxa"/>
              <w:bottom w:w="30" w:type="dxa"/>
              <w:right w:w="30" w:type="dxa"/>
            </w:tcMar>
          </w:tcPr>
          <w:p w14:paraId="6B990D3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BGC1</w:t>
            </w:r>
          </w:p>
        </w:tc>
        <w:tc>
          <w:tcPr>
            <w:tcW w:w="417" w:type="pct"/>
            <w:shd w:val="clear" w:color="auto" w:fill="FFFFFF"/>
            <w:tcMar>
              <w:top w:w="30" w:type="dxa"/>
              <w:left w:w="30" w:type="dxa"/>
              <w:bottom w:w="30" w:type="dxa"/>
              <w:right w:w="30" w:type="dxa"/>
            </w:tcMar>
            <w:vAlign w:val="center"/>
          </w:tcPr>
          <w:p w14:paraId="699CA91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3A105E9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833" w:type="pct"/>
            <w:shd w:val="clear" w:color="auto" w:fill="FFFFFF"/>
            <w:tcMar>
              <w:top w:w="30" w:type="dxa"/>
              <w:left w:w="30" w:type="dxa"/>
              <w:bottom w:w="30" w:type="dxa"/>
              <w:right w:w="30" w:type="dxa"/>
            </w:tcMar>
            <w:vAlign w:val="center"/>
          </w:tcPr>
          <w:p w14:paraId="2109319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81" w:type="pct"/>
            <w:shd w:val="clear" w:color="auto" w:fill="FFFFFF"/>
            <w:tcMar>
              <w:top w:w="30" w:type="dxa"/>
              <w:left w:w="30" w:type="dxa"/>
              <w:bottom w:w="30" w:type="dxa"/>
              <w:right w:w="30" w:type="dxa"/>
            </w:tcMar>
            <w:vAlign w:val="center"/>
          </w:tcPr>
          <w:p w14:paraId="78BFBE1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3.6377</w:t>
            </w:r>
          </w:p>
        </w:tc>
        <w:tc>
          <w:tcPr>
            <w:tcW w:w="1042" w:type="pct"/>
            <w:shd w:val="clear" w:color="auto" w:fill="FFFFFF"/>
            <w:tcMar>
              <w:top w:w="30" w:type="dxa"/>
              <w:left w:w="30" w:type="dxa"/>
              <w:bottom w:w="30" w:type="dxa"/>
              <w:right w:w="30" w:type="dxa"/>
            </w:tcMar>
            <w:vAlign w:val="center"/>
          </w:tcPr>
          <w:p w14:paraId="6EEDB6C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0.83966</w:t>
            </w:r>
          </w:p>
        </w:tc>
      </w:tr>
      <w:tr w:rsidR="005E263E" w:rsidRPr="00AA32E1" w14:paraId="3147E3D9" w14:textId="77777777" w:rsidTr="000905AA">
        <w:trPr>
          <w:cantSplit/>
          <w:tblHeader/>
        </w:trPr>
        <w:tc>
          <w:tcPr>
            <w:tcW w:w="1302" w:type="pct"/>
            <w:shd w:val="clear" w:color="auto" w:fill="FFFFFF"/>
            <w:tcMar>
              <w:top w:w="30" w:type="dxa"/>
              <w:left w:w="30" w:type="dxa"/>
              <w:bottom w:w="30" w:type="dxa"/>
              <w:right w:w="30" w:type="dxa"/>
            </w:tcMar>
          </w:tcPr>
          <w:p w14:paraId="325E3D9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BGC2</w:t>
            </w:r>
          </w:p>
        </w:tc>
        <w:tc>
          <w:tcPr>
            <w:tcW w:w="417" w:type="pct"/>
            <w:shd w:val="clear" w:color="auto" w:fill="FFFFFF"/>
            <w:tcMar>
              <w:top w:w="30" w:type="dxa"/>
              <w:left w:w="30" w:type="dxa"/>
              <w:bottom w:w="30" w:type="dxa"/>
              <w:right w:w="30" w:type="dxa"/>
            </w:tcMar>
            <w:vAlign w:val="center"/>
          </w:tcPr>
          <w:p w14:paraId="646E8F3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00783ED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833" w:type="pct"/>
            <w:shd w:val="clear" w:color="auto" w:fill="FFFFFF"/>
            <w:tcMar>
              <w:top w:w="30" w:type="dxa"/>
              <w:left w:w="30" w:type="dxa"/>
              <w:bottom w:w="30" w:type="dxa"/>
              <w:right w:w="30" w:type="dxa"/>
            </w:tcMar>
            <w:vAlign w:val="center"/>
          </w:tcPr>
          <w:p w14:paraId="20108BF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81" w:type="pct"/>
            <w:shd w:val="clear" w:color="auto" w:fill="FFFFFF"/>
            <w:tcMar>
              <w:top w:w="30" w:type="dxa"/>
              <w:left w:w="30" w:type="dxa"/>
              <w:bottom w:w="30" w:type="dxa"/>
              <w:right w:w="30" w:type="dxa"/>
            </w:tcMar>
            <w:vAlign w:val="center"/>
          </w:tcPr>
          <w:p w14:paraId="35D72B6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3.6957</w:t>
            </w:r>
          </w:p>
        </w:tc>
        <w:tc>
          <w:tcPr>
            <w:tcW w:w="1042" w:type="pct"/>
            <w:shd w:val="clear" w:color="auto" w:fill="FFFFFF"/>
            <w:tcMar>
              <w:top w:w="30" w:type="dxa"/>
              <w:left w:w="30" w:type="dxa"/>
              <w:bottom w:w="30" w:type="dxa"/>
              <w:right w:w="30" w:type="dxa"/>
            </w:tcMar>
            <w:vAlign w:val="center"/>
          </w:tcPr>
          <w:p w14:paraId="1AA7C54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0.87958</w:t>
            </w:r>
          </w:p>
        </w:tc>
      </w:tr>
      <w:tr w:rsidR="005E263E" w:rsidRPr="00AA32E1" w14:paraId="7866ABC0" w14:textId="77777777" w:rsidTr="000905AA">
        <w:trPr>
          <w:cantSplit/>
          <w:tblHeader/>
        </w:trPr>
        <w:tc>
          <w:tcPr>
            <w:tcW w:w="1302" w:type="pct"/>
            <w:shd w:val="clear" w:color="auto" w:fill="FFFFFF"/>
            <w:tcMar>
              <w:top w:w="30" w:type="dxa"/>
              <w:left w:w="30" w:type="dxa"/>
              <w:bottom w:w="30" w:type="dxa"/>
              <w:right w:w="30" w:type="dxa"/>
            </w:tcMar>
          </w:tcPr>
          <w:p w14:paraId="2DFCD85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BGC3</w:t>
            </w:r>
          </w:p>
        </w:tc>
        <w:tc>
          <w:tcPr>
            <w:tcW w:w="417" w:type="pct"/>
            <w:shd w:val="clear" w:color="auto" w:fill="FFFFFF"/>
            <w:tcMar>
              <w:top w:w="30" w:type="dxa"/>
              <w:left w:w="30" w:type="dxa"/>
              <w:bottom w:w="30" w:type="dxa"/>
              <w:right w:w="30" w:type="dxa"/>
            </w:tcMar>
            <w:vAlign w:val="center"/>
          </w:tcPr>
          <w:p w14:paraId="5805748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645330F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2.00</w:t>
            </w:r>
          </w:p>
        </w:tc>
        <w:tc>
          <w:tcPr>
            <w:tcW w:w="833" w:type="pct"/>
            <w:shd w:val="clear" w:color="auto" w:fill="FFFFFF"/>
            <w:tcMar>
              <w:top w:w="30" w:type="dxa"/>
              <w:left w:w="30" w:type="dxa"/>
              <w:bottom w:w="30" w:type="dxa"/>
              <w:right w:w="30" w:type="dxa"/>
            </w:tcMar>
            <w:vAlign w:val="center"/>
          </w:tcPr>
          <w:p w14:paraId="668B0F4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81" w:type="pct"/>
            <w:shd w:val="clear" w:color="auto" w:fill="FFFFFF"/>
            <w:tcMar>
              <w:top w:w="30" w:type="dxa"/>
              <w:left w:w="30" w:type="dxa"/>
              <w:bottom w:w="30" w:type="dxa"/>
              <w:right w:w="30" w:type="dxa"/>
            </w:tcMar>
            <w:vAlign w:val="center"/>
          </w:tcPr>
          <w:p w14:paraId="7FD53D6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3.3768</w:t>
            </w:r>
          </w:p>
        </w:tc>
        <w:tc>
          <w:tcPr>
            <w:tcW w:w="1042" w:type="pct"/>
            <w:shd w:val="clear" w:color="auto" w:fill="FFFFFF"/>
            <w:tcMar>
              <w:top w:w="30" w:type="dxa"/>
              <w:left w:w="30" w:type="dxa"/>
              <w:bottom w:w="30" w:type="dxa"/>
              <w:right w:w="30" w:type="dxa"/>
            </w:tcMar>
            <w:vAlign w:val="center"/>
          </w:tcPr>
          <w:p w14:paraId="32A17DD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0.80625</w:t>
            </w:r>
          </w:p>
        </w:tc>
      </w:tr>
      <w:tr w:rsidR="005E263E" w:rsidRPr="00AA32E1" w14:paraId="1C185242" w14:textId="77777777" w:rsidTr="000905AA">
        <w:trPr>
          <w:cantSplit/>
          <w:tblHeader/>
        </w:trPr>
        <w:tc>
          <w:tcPr>
            <w:tcW w:w="1302" w:type="pct"/>
            <w:shd w:val="clear" w:color="auto" w:fill="FFFFFF"/>
            <w:tcMar>
              <w:top w:w="30" w:type="dxa"/>
              <w:left w:w="30" w:type="dxa"/>
              <w:bottom w:w="30" w:type="dxa"/>
              <w:right w:w="30" w:type="dxa"/>
            </w:tcMar>
          </w:tcPr>
          <w:p w14:paraId="15D7D97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BGC4</w:t>
            </w:r>
          </w:p>
        </w:tc>
        <w:tc>
          <w:tcPr>
            <w:tcW w:w="417" w:type="pct"/>
            <w:shd w:val="clear" w:color="auto" w:fill="FFFFFF"/>
            <w:tcMar>
              <w:top w:w="30" w:type="dxa"/>
              <w:left w:w="30" w:type="dxa"/>
              <w:bottom w:w="30" w:type="dxa"/>
              <w:right w:w="30" w:type="dxa"/>
            </w:tcMar>
            <w:vAlign w:val="center"/>
          </w:tcPr>
          <w:p w14:paraId="14BF6A4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0E5BEAE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833" w:type="pct"/>
            <w:shd w:val="clear" w:color="auto" w:fill="FFFFFF"/>
            <w:tcMar>
              <w:top w:w="30" w:type="dxa"/>
              <w:left w:w="30" w:type="dxa"/>
              <w:bottom w:w="30" w:type="dxa"/>
              <w:right w:w="30" w:type="dxa"/>
            </w:tcMar>
            <w:vAlign w:val="center"/>
          </w:tcPr>
          <w:p w14:paraId="7750391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81" w:type="pct"/>
            <w:shd w:val="clear" w:color="auto" w:fill="FFFFFF"/>
            <w:tcMar>
              <w:top w:w="30" w:type="dxa"/>
              <w:left w:w="30" w:type="dxa"/>
              <w:bottom w:w="30" w:type="dxa"/>
              <w:right w:w="30" w:type="dxa"/>
            </w:tcMar>
            <w:vAlign w:val="center"/>
          </w:tcPr>
          <w:p w14:paraId="5BAC4ED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3.5652</w:t>
            </w:r>
          </w:p>
        </w:tc>
        <w:tc>
          <w:tcPr>
            <w:tcW w:w="1042" w:type="pct"/>
            <w:shd w:val="clear" w:color="auto" w:fill="FFFFFF"/>
            <w:tcMar>
              <w:top w:w="30" w:type="dxa"/>
              <w:left w:w="30" w:type="dxa"/>
              <w:bottom w:w="30" w:type="dxa"/>
              <w:right w:w="30" w:type="dxa"/>
            </w:tcMar>
            <w:vAlign w:val="center"/>
          </w:tcPr>
          <w:p w14:paraId="7C59CCF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0.91520</w:t>
            </w:r>
          </w:p>
        </w:tc>
      </w:tr>
      <w:tr w:rsidR="005E263E" w:rsidRPr="00AA32E1" w14:paraId="53029A15" w14:textId="77777777" w:rsidTr="000905AA">
        <w:trPr>
          <w:cantSplit/>
          <w:tblHeader/>
        </w:trPr>
        <w:tc>
          <w:tcPr>
            <w:tcW w:w="1302" w:type="pct"/>
            <w:shd w:val="clear" w:color="auto" w:fill="FFFFFF"/>
            <w:tcMar>
              <w:top w:w="30" w:type="dxa"/>
              <w:left w:w="30" w:type="dxa"/>
              <w:bottom w:w="30" w:type="dxa"/>
              <w:right w:w="30" w:type="dxa"/>
            </w:tcMar>
          </w:tcPr>
          <w:p w14:paraId="6C1868A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BGC5</w:t>
            </w:r>
          </w:p>
        </w:tc>
        <w:tc>
          <w:tcPr>
            <w:tcW w:w="417" w:type="pct"/>
            <w:shd w:val="clear" w:color="auto" w:fill="FFFFFF"/>
            <w:tcMar>
              <w:top w:w="30" w:type="dxa"/>
              <w:left w:w="30" w:type="dxa"/>
              <w:bottom w:w="30" w:type="dxa"/>
              <w:right w:w="30" w:type="dxa"/>
            </w:tcMar>
            <w:vAlign w:val="center"/>
          </w:tcPr>
          <w:p w14:paraId="7F73646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08DF6A9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2.00</w:t>
            </w:r>
          </w:p>
        </w:tc>
        <w:tc>
          <w:tcPr>
            <w:tcW w:w="833" w:type="pct"/>
            <w:shd w:val="clear" w:color="auto" w:fill="FFFFFF"/>
            <w:tcMar>
              <w:top w:w="30" w:type="dxa"/>
              <w:left w:w="30" w:type="dxa"/>
              <w:bottom w:w="30" w:type="dxa"/>
              <w:right w:w="30" w:type="dxa"/>
            </w:tcMar>
            <w:vAlign w:val="center"/>
          </w:tcPr>
          <w:p w14:paraId="7E09962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81" w:type="pct"/>
            <w:shd w:val="clear" w:color="auto" w:fill="FFFFFF"/>
            <w:tcMar>
              <w:top w:w="30" w:type="dxa"/>
              <w:left w:w="30" w:type="dxa"/>
              <w:bottom w:w="30" w:type="dxa"/>
              <w:right w:w="30" w:type="dxa"/>
            </w:tcMar>
            <w:vAlign w:val="center"/>
          </w:tcPr>
          <w:p w14:paraId="50D2017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3.6812</w:t>
            </w:r>
          </w:p>
        </w:tc>
        <w:tc>
          <w:tcPr>
            <w:tcW w:w="1042" w:type="pct"/>
            <w:shd w:val="clear" w:color="auto" w:fill="FFFFFF"/>
            <w:tcMar>
              <w:top w:w="30" w:type="dxa"/>
              <w:left w:w="30" w:type="dxa"/>
              <w:bottom w:w="30" w:type="dxa"/>
              <w:right w:w="30" w:type="dxa"/>
            </w:tcMar>
            <w:vAlign w:val="center"/>
          </w:tcPr>
          <w:p w14:paraId="238F7ED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0.69648</w:t>
            </w:r>
          </w:p>
        </w:tc>
      </w:tr>
      <w:tr w:rsidR="005E263E" w:rsidRPr="00AA32E1" w14:paraId="2961BE05" w14:textId="77777777" w:rsidTr="000905AA">
        <w:trPr>
          <w:cantSplit/>
          <w:tblHeader/>
        </w:trPr>
        <w:tc>
          <w:tcPr>
            <w:tcW w:w="1302" w:type="pct"/>
            <w:shd w:val="clear" w:color="auto" w:fill="FFFFFF"/>
            <w:tcMar>
              <w:top w:w="30" w:type="dxa"/>
              <w:left w:w="30" w:type="dxa"/>
              <w:bottom w:w="30" w:type="dxa"/>
              <w:right w:w="30" w:type="dxa"/>
            </w:tcMar>
          </w:tcPr>
          <w:p w14:paraId="25DE018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BGC6</w:t>
            </w:r>
          </w:p>
        </w:tc>
        <w:tc>
          <w:tcPr>
            <w:tcW w:w="417" w:type="pct"/>
            <w:shd w:val="clear" w:color="auto" w:fill="FFFFFF"/>
            <w:tcMar>
              <w:top w:w="30" w:type="dxa"/>
              <w:left w:w="30" w:type="dxa"/>
              <w:bottom w:w="30" w:type="dxa"/>
              <w:right w:w="30" w:type="dxa"/>
            </w:tcMar>
            <w:vAlign w:val="center"/>
          </w:tcPr>
          <w:p w14:paraId="50EC7E9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1BC140B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833" w:type="pct"/>
            <w:shd w:val="clear" w:color="auto" w:fill="FFFFFF"/>
            <w:tcMar>
              <w:top w:w="30" w:type="dxa"/>
              <w:left w:w="30" w:type="dxa"/>
              <w:bottom w:w="30" w:type="dxa"/>
              <w:right w:w="30" w:type="dxa"/>
            </w:tcMar>
            <w:vAlign w:val="center"/>
          </w:tcPr>
          <w:p w14:paraId="5FDBBE5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81" w:type="pct"/>
            <w:shd w:val="clear" w:color="auto" w:fill="FFFFFF"/>
            <w:tcMar>
              <w:top w:w="30" w:type="dxa"/>
              <w:left w:w="30" w:type="dxa"/>
              <w:bottom w:w="30" w:type="dxa"/>
              <w:right w:w="30" w:type="dxa"/>
            </w:tcMar>
            <w:vAlign w:val="center"/>
          </w:tcPr>
          <w:p w14:paraId="0C21C2A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3.5942</w:t>
            </w:r>
          </w:p>
        </w:tc>
        <w:tc>
          <w:tcPr>
            <w:tcW w:w="1042" w:type="pct"/>
            <w:shd w:val="clear" w:color="auto" w:fill="FFFFFF"/>
            <w:tcMar>
              <w:top w:w="30" w:type="dxa"/>
              <w:left w:w="30" w:type="dxa"/>
              <w:bottom w:w="30" w:type="dxa"/>
              <w:right w:w="30" w:type="dxa"/>
            </w:tcMar>
            <w:vAlign w:val="center"/>
          </w:tcPr>
          <w:p w14:paraId="06348F1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0.75379</w:t>
            </w:r>
          </w:p>
        </w:tc>
      </w:tr>
      <w:tr w:rsidR="005E263E" w:rsidRPr="00AA32E1" w14:paraId="2DF502D2" w14:textId="77777777" w:rsidTr="000905AA">
        <w:trPr>
          <w:cantSplit/>
          <w:tblHeader/>
        </w:trPr>
        <w:tc>
          <w:tcPr>
            <w:tcW w:w="1302" w:type="pct"/>
            <w:shd w:val="clear" w:color="auto" w:fill="FFFFFF"/>
            <w:tcMar>
              <w:top w:w="30" w:type="dxa"/>
              <w:left w:w="30" w:type="dxa"/>
              <w:bottom w:w="30" w:type="dxa"/>
              <w:right w:w="30" w:type="dxa"/>
            </w:tcMar>
          </w:tcPr>
          <w:p w14:paraId="25C391C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BGC7</w:t>
            </w:r>
          </w:p>
        </w:tc>
        <w:tc>
          <w:tcPr>
            <w:tcW w:w="417" w:type="pct"/>
            <w:shd w:val="clear" w:color="auto" w:fill="FFFFFF"/>
            <w:tcMar>
              <w:top w:w="30" w:type="dxa"/>
              <w:left w:w="30" w:type="dxa"/>
              <w:bottom w:w="30" w:type="dxa"/>
              <w:right w:w="30" w:type="dxa"/>
            </w:tcMar>
            <w:vAlign w:val="center"/>
          </w:tcPr>
          <w:p w14:paraId="5ABCF9A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25" w:type="pct"/>
            <w:shd w:val="clear" w:color="auto" w:fill="FFFFFF"/>
            <w:tcMar>
              <w:top w:w="30" w:type="dxa"/>
              <w:left w:w="30" w:type="dxa"/>
              <w:bottom w:w="30" w:type="dxa"/>
              <w:right w:w="30" w:type="dxa"/>
            </w:tcMar>
            <w:vAlign w:val="center"/>
          </w:tcPr>
          <w:p w14:paraId="1EC16A0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2.00</w:t>
            </w:r>
          </w:p>
        </w:tc>
        <w:tc>
          <w:tcPr>
            <w:tcW w:w="833" w:type="pct"/>
            <w:shd w:val="clear" w:color="auto" w:fill="FFFFFF"/>
            <w:tcMar>
              <w:top w:w="30" w:type="dxa"/>
              <w:left w:w="30" w:type="dxa"/>
              <w:bottom w:w="30" w:type="dxa"/>
              <w:right w:w="30" w:type="dxa"/>
            </w:tcMar>
            <w:vAlign w:val="center"/>
          </w:tcPr>
          <w:p w14:paraId="7D0CA45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81" w:type="pct"/>
            <w:shd w:val="clear" w:color="auto" w:fill="FFFFFF"/>
            <w:tcMar>
              <w:top w:w="30" w:type="dxa"/>
              <w:left w:w="30" w:type="dxa"/>
              <w:bottom w:w="30" w:type="dxa"/>
              <w:right w:w="30" w:type="dxa"/>
            </w:tcMar>
            <w:vAlign w:val="center"/>
          </w:tcPr>
          <w:p w14:paraId="690A9B9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3.8116</w:t>
            </w:r>
          </w:p>
        </w:tc>
        <w:tc>
          <w:tcPr>
            <w:tcW w:w="1042" w:type="pct"/>
            <w:shd w:val="clear" w:color="auto" w:fill="FFFFFF"/>
            <w:tcMar>
              <w:top w:w="30" w:type="dxa"/>
              <w:left w:w="30" w:type="dxa"/>
              <w:bottom w:w="30" w:type="dxa"/>
              <w:right w:w="30" w:type="dxa"/>
            </w:tcMar>
            <w:vAlign w:val="center"/>
          </w:tcPr>
          <w:p w14:paraId="56FFC9F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0.75294</w:t>
            </w:r>
          </w:p>
        </w:tc>
      </w:tr>
      <w:tr w:rsidR="005E263E" w:rsidRPr="00AA32E1" w14:paraId="5BC817B9" w14:textId="77777777" w:rsidTr="000905AA">
        <w:trPr>
          <w:cantSplit/>
          <w:tblHeader/>
        </w:trPr>
        <w:tc>
          <w:tcPr>
            <w:tcW w:w="1302" w:type="pct"/>
            <w:shd w:val="clear" w:color="auto" w:fill="FFFFFF"/>
            <w:tcMar>
              <w:top w:w="30" w:type="dxa"/>
              <w:left w:w="30" w:type="dxa"/>
              <w:bottom w:w="30" w:type="dxa"/>
              <w:right w:w="30" w:type="dxa"/>
            </w:tcMar>
          </w:tcPr>
          <w:p w14:paraId="2B79FB32"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Grand Total</w:t>
            </w:r>
          </w:p>
        </w:tc>
        <w:tc>
          <w:tcPr>
            <w:tcW w:w="417" w:type="pct"/>
            <w:shd w:val="clear" w:color="auto" w:fill="FFFFFF"/>
            <w:tcMar>
              <w:top w:w="30" w:type="dxa"/>
              <w:left w:w="30" w:type="dxa"/>
              <w:bottom w:w="30" w:type="dxa"/>
              <w:right w:w="30" w:type="dxa"/>
            </w:tcMar>
            <w:vAlign w:val="center"/>
          </w:tcPr>
          <w:p w14:paraId="01A67CE4"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69</w:t>
            </w:r>
          </w:p>
        </w:tc>
        <w:tc>
          <w:tcPr>
            <w:tcW w:w="625" w:type="pct"/>
            <w:shd w:val="clear" w:color="auto" w:fill="FFFFFF"/>
            <w:tcMar>
              <w:top w:w="30" w:type="dxa"/>
              <w:left w:w="30" w:type="dxa"/>
              <w:bottom w:w="30" w:type="dxa"/>
              <w:right w:w="30" w:type="dxa"/>
            </w:tcMar>
            <w:vAlign w:val="center"/>
          </w:tcPr>
          <w:p w14:paraId="6B11F47E"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2.00</w:t>
            </w:r>
          </w:p>
        </w:tc>
        <w:tc>
          <w:tcPr>
            <w:tcW w:w="833" w:type="pct"/>
            <w:shd w:val="clear" w:color="auto" w:fill="FFFFFF"/>
            <w:tcMar>
              <w:top w:w="30" w:type="dxa"/>
              <w:left w:w="30" w:type="dxa"/>
              <w:bottom w:w="30" w:type="dxa"/>
              <w:right w:w="30" w:type="dxa"/>
            </w:tcMar>
            <w:vAlign w:val="center"/>
          </w:tcPr>
          <w:p w14:paraId="2ADD726C"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4.86</w:t>
            </w:r>
          </w:p>
        </w:tc>
        <w:tc>
          <w:tcPr>
            <w:tcW w:w="781" w:type="pct"/>
            <w:shd w:val="clear" w:color="auto" w:fill="FFFFFF"/>
            <w:tcMar>
              <w:top w:w="30" w:type="dxa"/>
              <w:left w:w="30" w:type="dxa"/>
              <w:bottom w:w="30" w:type="dxa"/>
              <w:right w:w="30" w:type="dxa"/>
            </w:tcMar>
            <w:vAlign w:val="center"/>
          </w:tcPr>
          <w:p w14:paraId="0C7B66CA"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3.6231</w:t>
            </w:r>
          </w:p>
        </w:tc>
        <w:tc>
          <w:tcPr>
            <w:tcW w:w="1042" w:type="pct"/>
            <w:shd w:val="clear" w:color="auto" w:fill="FFFFFF"/>
            <w:tcMar>
              <w:top w:w="30" w:type="dxa"/>
              <w:left w:w="30" w:type="dxa"/>
              <w:bottom w:w="30" w:type="dxa"/>
              <w:right w:w="30" w:type="dxa"/>
            </w:tcMar>
            <w:vAlign w:val="center"/>
          </w:tcPr>
          <w:p w14:paraId="752306C8"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0.57512</w:t>
            </w:r>
          </w:p>
        </w:tc>
      </w:tr>
    </w:tbl>
    <w:p w14:paraId="2642F1CB" w14:textId="77777777" w:rsidR="005E263E" w:rsidRPr="00AA32E1" w:rsidRDefault="005E263E" w:rsidP="005E263E">
      <w:pPr>
        <w:pStyle w:val="NoSpacing"/>
        <w:ind w:firstLine="708"/>
        <w:jc w:val="both"/>
        <w:rPr>
          <w:rFonts w:cs="Calibri"/>
          <w:b/>
          <w:i/>
          <w:sz w:val="24"/>
          <w:szCs w:val="24"/>
        </w:rPr>
      </w:pPr>
    </w:p>
    <w:p w14:paraId="7142CD90" w14:textId="77777777" w:rsidR="005E263E" w:rsidRPr="00AA32E1" w:rsidRDefault="005E263E" w:rsidP="000905AA">
      <w:pPr>
        <w:pStyle w:val="NoSpacing"/>
        <w:jc w:val="both"/>
        <w:rPr>
          <w:rFonts w:cs="Calibri"/>
          <w:sz w:val="24"/>
          <w:szCs w:val="24"/>
        </w:rPr>
      </w:pPr>
      <w:r w:rsidRPr="00AA32E1">
        <w:rPr>
          <w:rFonts w:cs="Calibri"/>
          <w:b/>
          <w:i/>
          <w:sz w:val="24"/>
          <w:szCs w:val="24"/>
        </w:rPr>
        <w:t>Source:</w:t>
      </w:r>
      <w:r w:rsidRPr="00AA32E1">
        <w:rPr>
          <w:rFonts w:cs="Calibri"/>
          <w:sz w:val="24"/>
          <w:szCs w:val="24"/>
        </w:rPr>
        <w:t xml:space="preserve"> Primary Data-Questionnaire</w:t>
      </w:r>
    </w:p>
    <w:p w14:paraId="2AD4FED5" w14:textId="77777777" w:rsidR="005E263E" w:rsidRPr="00AA32E1" w:rsidRDefault="005E263E" w:rsidP="005E263E">
      <w:pPr>
        <w:keepNext/>
        <w:spacing w:after="0" w:line="240" w:lineRule="auto"/>
        <w:ind w:firstLine="567"/>
        <w:jc w:val="both"/>
        <w:rPr>
          <w:rFonts w:ascii="Calibri" w:hAnsi="Calibri" w:cs="Calibri"/>
          <w:sz w:val="24"/>
          <w:szCs w:val="24"/>
        </w:rPr>
      </w:pPr>
    </w:p>
    <w:p w14:paraId="4840EC0C"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sz w:val="24"/>
          <w:szCs w:val="24"/>
        </w:rPr>
        <w:t xml:space="preserve">From the table, it can be seen that there is high degree of budget goal clarity in the university.  The overall mean was 3.6231 at standard deviation of 0.57512. The response range between disagree to strongly agree thus showing a minimum value of 2.00 and a maximum of 4.86.  </w:t>
      </w:r>
    </w:p>
    <w:p w14:paraId="7DAC6AD0" w14:textId="77777777" w:rsidR="005E263E" w:rsidRPr="00AA32E1" w:rsidRDefault="005E263E" w:rsidP="005E263E">
      <w:pPr>
        <w:pStyle w:val="NoSpacing"/>
        <w:ind w:left="927"/>
        <w:jc w:val="both"/>
        <w:rPr>
          <w:rFonts w:cs="Calibri"/>
          <w:b/>
          <w:i/>
          <w:sz w:val="24"/>
          <w:szCs w:val="24"/>
        </w:rPr>
      </w:pPr>
    </w:p>
    <w:p w14:paraId="5A8AA153" w14:textId="746C6C3A" w:rsidR="005E263E" w:rsidRPr="00AA32E1" w:rsidRDefault="005E263E" w:rsidP="000905AA">
      <w:pPr>
        <w:pStyle w:val="NoSpacing"/>
        <w:widowControl w:val="0"/>
        <w:spacing w:after="60"/>
        <w:jc w:val="both"/>
        <w:rPr>
          <w:rFonts w:cs="Calibri"/>
          <w:b/>
          <w:i/>
          <w:sz w:val="24"/>
          <w:szCs w:val="24"/>
        </w:rPr>
      </w:pPr>
      <w:r w:rsidRPr="00AA32E1">
        <w:rPr>
          <w:rFonts w:cs="Calibri"/>
          <w:b/>
          <w:i/>
          <w:sz w:val="24"/>
          <w:szCs w:val="24"/>
        </w:rPr>
        <w:t xml:space="preserve">Revenue </w:t>
      </w:r>
      <w:r w:rsidR="000905AA" w:rsidRPr="00AA32E1">
        <w:rPr>
          <w:rFonts w:cs="Calibri"/>
          <w:b/>
          <w:i/>
          <w:sz w:val="24"/>
          <w:szCs w:val="24"/>
        </w:rPr>
        <w:t>Distribution Fairness</w:t>
      </w:r>
    </w:p>
    <w:p w14:paraId="135BDF6C" w14:textId="77777777" w:rsidR="005E263E" w:rsidRPr="00AA32E1" w:rsidRDefault="005E263E" w:rsidP="005E263E">
      <w:pPr>
        <w:pStyle w:val="NoSpacing"/>
        <w:ind w:firstLine="567"/>
        <w:jc w:val="both"/>
        <w:rPr>
          <w:rFonts w:cs="Calibri"/>
          <w:sz w:val="24"/>
          <w:szCs w:val="24"/>
        </w:rPr>
      </w:pPr>
      <w:r w:rsidRPr="00AA32E1">
        <w:rPr>
          <w:rFonts w:cs="Calibri"/>
          <w:sz w:val="24"/>
          <w:szCs w:val="24"/>
        </w:rPr>
        <w:t>The results in Table 5</w:t>
      </w:r>
      <w:r w:rsidRPr="00AA32E1">
        <w:rPr>
          <w:rFonts w:cs="Calibri"/>
          <w:b/>
          <w:bCs/>
          <w:sz w:val="24"/>
          <w:szCs w:val="24"/>
        </w:rPr>
        <w:t xml:space="preserve"> </w:t>
      </w:r>
      <w:r w:rsidRPr="00AA32E1">
        <w:rPr>
          <w:rFonts w:cs="Calibri"/>
          <w:sz w:val="24"/>
          <w:szCs w:val="24"/>
        </w:rPr>
        <w:t>below were generated using descriptive statistics in order to explore the perception of fairness in revenue distribution and the perception of budget adequacy in the university.</w:t>
      </w:r>
    </w:p>
    <w:p w14:paraId="4696E5C9" w14:textId="77777777" w:rsidR="005E263E" w:rsidRPr="00AA32E1" w:rsidRDefault="005E263E" w:rsidP="005E263E">
      <w:pPr>
        <w:pStyle w:val="NoSpacing"/>
        <w:ind w:firstLine="567"/>
        <w:jc w:val="both"/>
        <w:rPr>
          <w:rFonts w:cs="Calibri"/>
          <w:sz w:val="24"/>
          <w:szCs w:val="24"/>
        </w:rPr>
      </w:pPr>
    </w:p>
    <w:p w14:paraId="4DA87025" w14:textId="77777777" w:rsidR="000905AA" w:rsidRPr="000905AA" w:rsidRDefault="005E263E" w:rsidP="005E263E">
      <w:pPr>
        <w:keepNext/>
        <w:autoSpaceDE w:val="0"/>
        <w:autoSpaceDN w:val="0"/>
        <w:adjustRightInd w:val="0"/>
        <w:spacing w:after="0" w:line="240" w:lineRule="auto"/>
        <w:jc w:val="both"/>
        <w:rPr>
          <w:rFonts w:ascii="Calibri" w:hAnsi="Calibri" w:cs="Calibri"/>
          <w:iCs/>
          <w:sz w:val="24"/>
          <w:szCs w:val="24"/>
        </w:rPr>
      </w:pPr>
      <w:r w:rsidRPr="000905AA">
        <w:rPr>
          <w:rFonts w:ascii="Calibri" w:hAnsi="Calibri" w:cs="Calibri"/>
          <w:iCs/>
          <w:sz w:val="24"/>
          <w:szCs w:val="24"/>
        </w:rPr>
        <w:t>Table 5</w:t>
      </w:r>
    </w:p>
    <w:p w14:paraId="25FA28A9" w14:textId="51E328B0" w:rsidR="005E263E" w:rsidRPr="000905AA" w:rsidRDefault="005E263E" w:rsidP="005E263E">
      <w:pPr>
        <w:keepNext/>
        <w:autoSpaceDE w:val="0"/>
        <w:autoSpaceDN w:val="0"/>
        <w:adjustRightInd w:val="0"/>
        <w:spacing w:after="0" w:line="240" w:lineRule="auto"/>
        <w:jc w:val="both"/>
        <w:rPr>
          <w:rFonts w:ascii="Calibri" w:hAnsi="Calibri" w:cs="Calibri"/>
          <w:i/>
          <w:iCs/>
          <w:sz w:val="24"/>
          <w:szCs w:val="24"/>
        </w:rPr>
      </w:pPr>
      <w:r w:rsidRPr="000905AA">
        <w:rPr>
          <w:rFonts w:ascii="Calibri" w:hAnsi="Calibri" w:cs="Calibri"/>
          <w:i/>
          <w:iCs/>
          <w:sz w:val="24"/>
          <w:szCs w:val="24"/>
        </w:rPr>
        <w:t>Descriptive Statistics on Revenue Distribution Fairness (RDF)</w:t>
      </w:r>
    </w:p>
    <w:tbl>
      <w:tblPr>
        <w:tblpPr w:leftFromText="180" w:rightFromText="180" w:vertAnchor="text" w:horzAnchor="margin" w:tblpXSpec="center"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47"/>
        <w:gridCol w:w="846"/>
        <w:gridCol w:w="1221"/>
        <w:gridCol w:w="1408"/>
        <w:gridCol w:w="1315"/>
        <w:gridCol w:w="1879"/>
      </w:tblGrid>
      <w:tr w:rsidR="005E263E" w:rsidRPr="00AA32E1" w14:paraId="2365B1AF" w14:textId="77777777" w:rsidTr="000905AA">
        <w:trPr>
          <w:cantSplit/>
          <w:tblHeader/>
        </w:trPr>
        <w:tc>
          <w:tcPr>
            <w:tcW w:w="1302" w:type="pct"/>
            <w:shd w:val="clear" w:color="auto" w:fill="FFFFFF"/>
            <w:tcMar>
              <w:top w:w="30" w:type="dxa"/>
              <w:left w:w="30" w:type="dxa"/>
              <w:bottom w:w="30" w:type="dxa"/>
              <w:right w:w="30" w:type="dxa"/>
            </w:tcMar>
          </w:tcPr>
          <w:p w14:paraId="08F6B0AB" w14:textId="77777777" w:rsidR="005E263E" w:rsidRPr="00AA32E1" w:rsidRDefault="005E263E" w:rsidP="00D25C9C">
            <w:pPr>
              <w:keepNext/>
              <w:autoSpaceDE w:val="0"/>
              <w:autoSpaceDN w:val="0"/>
              <w:adjustRightInd w:val="0"/>
              <w:spacing w:after="0" w:line="240" w:lineRule="auto"/>
              <w:jc w:val="both"/>
              <w:rPr>
                <w:rFonts w:ascii="Calibri" w:hAnsi="Calibri" w:cs="Calibri"/>
                <w:b/>
                <w:sz w:val="24"/>
                <w:szCs w:val="24"/>
              </w:rPr>
            </w:pPr>
            <w:r w:rsidRPr="00AA32E1">
              <w:rPr>
                <w:rFonts w:ascii="Calibri" w:hAnsi="Calibri" w:cs="Calibri"/>
                <w:b/>
                <w:sz w:val="24"/>
                <w:szCs w:val="24"/>
              </w:rPr>
              <w:t>Variable</w:t>
            </w:r>
          </w:p>
        </w:tc>
        <w:tc>
          <w:tcPr>
            <w:tcW w:w="469" w:type="pct"/>
            <w:shd w:val="clear" w:color="auto" w:fill="FFFFFF"/>
            <w:tcMar>
              <w:top w:w="30" w:type="dxa"/>
              <w:left w:w="30" w:type="dxa"/>
              <w:bottom w:w="30" w:type="dxa"/>
              <w:right w:w="30" w:type="dxa"/>
            </w:tcMar>
            <w:vAlign w:val="bottom"/>
          </w:tcPr>
          <w:p w14:paraId="7AE4385B"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N</w:t>
            </w:r>
          </w:p>
        </w:tc>
        <w:tc>
          <w:tcPr>
            <w:tcW w:w="677" w:type="pct"/>
            <w:shd w:val="clear" w:color="auto" w:fill="FFFFFF"/>
            <w:tcMar>
              <w:top w:w="30" w:type="dxa"/>
              <w:left w:w="30" w:type="dxa"/>
              <w:bottom w:w="30" w:type="dxa"/>
              <w:right w:w="30" w:type="dxa"/>
            </w:tcMar>
            <w:vAlign w:val="bottom"/>
          </w:tcPr>
          <w:p w14:paraId="2052E9A8"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Minimum</w:t>
            </w:r>
          </w:p>
        </w:tc>
        <w:tc>
          <w:tcPr>
            <w:tcW w:w="781" w:type="pct"/>
            <w:shd w:val="clear" w:color="auto" w:fill="FFFFFF"/>
            <w:tcMar>
              <w:top w:w="30" w:type="dxa"/>
              <w:left w:w="30" w:type="dxa"/>
              <w:bottom w:w="30" w:type="dxa"/>
              <w:right w:w="30" w:type="dxa"/>
            </w:tcMar>
            <w:vAlign w:val="bottom"/>
          </w:tcPr>
          <w:p w14:paraId="27DA8968"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Maximum</w:t>
            </w:r>
          </w:p>
        </w:tc>
        <w:tc>
          <w:tcPr>
            <w:tcW w:w="729" w:type="pct"/>
            <w:shd w:val="clear" w:color="auto" w:fill="FFFFFF"/>
            <w:tcMar>
              <w:top w:w="30" w:type="dxa"/>
              <w:left w:w="30" w:type="dxa"/>
              <w:bottom w:w="30" w:type="dxa"/>
              <w:right w:w="30" w:type="dxa"/>
            </w:tcMar>
            <w:vAlign w:val="bottom"/>
          </w:tcPr>
          <w:p w14:paraId="05D6172D"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Mean</w:t>
            </w:r>
          </w:p>
        </w:tc>
        <w:tc>
          <w:tcPr>
            <w:tcW w:w="1042" w:type="pct"/>
            <w:shd w:val="clear" w:color="auto" w:fill="FFFFFF"/>
            <w:tcMar>
              <w:top w:w="30" w:type="dxa"/>
              <w:left w:w="30" w:type="dxa"/>
              <w:bottom w:w="30" w:type="dxa"/>
              <w:right w:w="30" w:type="dxa"/>
            </w:tcMar>
            <w:vAlign w:val="bottom"/>
          </w:tcPr>
          <w:p w14:paraId="0143DC43"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Std. Deviation</w:t>
            </w:r>
          </w:p>
        </w:tc>
      </w:tr>
      <w:tr w:rsidR="005E263E" w:rsidRPr="00AA32E1" w14:paraId="34F1F56C" w14:textId="77777777" w:rsidTr="000905AA">
        <w:trPr>
          <w:cantSplit/>
          <w:tblHeader/>
        </w:trPr>
        <w:tc>
          <w:tcPr>
            <w:tcW w:w="1302" w:type="pct"/>
            <w:shd w:val="clear" w:color="auto" w:fill="FFFFFF"/>
            <w:tcMar>
              <w:top w:w="30" w:type="dxa"/>
              <w:left w:w="30" w:type="dxa"/>
              <w:bottom w:w="30" w:type="dxa"/>
              <w:right w:w="30" w:type="dxa"/>
            </w:tcMar>
          </w:tcPr>
          <w:p w14:paraId="0F5E5B0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RDF1</w:t>
            </w:r>
          </w:p>
        </w:tc>
        <w:tc>
          <w:tcPr>
            <w:tcW w:w="469" w:type="pct"/>
            <w:shd w:val="clear" w:color="auto" w:fill="FFFFFF"/>
            <w:tcMar>
              <w:top w:w="30" w:type="dxa"/>
              <w:left w:w="30" w:type="dxa"/>
              <w:bottom w:w="30" w:type="dxa"/>
              <w:right w:w="30" w:type="dxa"/>
            </w:tcMar>
            <w:vAlign w:val="center"/>
          </w:tcPr>
          <w:p w14:paraId="31D6A8F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77" w:type="pct"/>
            <w:shd w:val="clear" w:color="auto" w:fill="FFFFFF"/>
            <w:tcMar>
              <w:top w:w="30" w:type="dxa"/>
              <w:left w:w="30" w:type="dxa"/>
              <w:bottom w:w="30" w:type="dxa"/>
              <w:right w:w="30" w:type="dxa"/>
            </w:tcMar>
            <w:vAlign w:val="center"/>
          </w:tcPr>
          <w:p w14:paraId="131DF62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7F77DD4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4.00</w:t>
            </w:r>
          </w:p>
        </w:tc>
        <w:tc>
          <w:tcPr>
            <w:tcW w:w="729" w:type="pct"/>
            <w:shd w:val="clear" w:color="auto" w:fill="FFFFFF"/>
            <w:tcMar>
              <w:top w:w="30" w:type="dxa"/>
              <w:left w:w="30" w:type="dxa"/>
              <w:bottom w:w="30" w:type="dxa"/>
              <w:right w:w="30" w:type="dxa"/>
            </w:tcMar>
            <w:vAlign w:val="center"/>
          </w:tcPr>
          <w:p w14:paraId="34712FC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2.9420</w:t>
            </w:r>
          </w:p>
        </w:tc>
        <w:tc>
          <w:tcPr>
            <w:tcW w:w="1042" w:type="pct"/>
            <w:shd w:val="clear" w:color="auto" w:fill="FFFFFF"/>
            <w:tcMar>
              <w:top w:w="30" w:type="dxa"/>
              <w:left w:w="30" w:type="dxa"/>
              <w:bottom w:w="30" w:type="dxa"/>
              <w:right w:w="30" w:type="dxa"/>
            </w:tcMar>
            <w:vAlign w:val="center"/>
          </w:tcPr>
          <w:p w14:paraId="7543612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1.08308</w:t>
            </w:r>
          </w:p>
        </w:tc>
      </w:tr>
      <w:tr w:rsidR="005E263E" w:rsidRPr="00AA32E1" w14:paraId="4FAB3F95" w14:textId="77777777" w:rsidTr="000905AA">
        <w:trPr>
          <w:cantSplit/>
          <w:tblHeader/>
        </w:trPr>
        <w:tc>
          <w:tcPr>
            <w:tcW w:w="1302" w:type="pct"/>
            <w:shd w:val="clear" w:color="auto" w:fill="FFFFFF"/>
            <w:tcMar>
              <w:top w:w="30" w:type="dxa"/>
              <w:left w:w="30" w:type="dxa"/>
              <w:bottom w:w="30" w:type="dxa"/>
              <w:right w:w="30" w:type="dxa"/>
            </w:tcMar>
          </w:tcPr>
          <w:p w14:paraId="4161002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RDF2</w:t>
            </w:r>
          </w:p>
        </w:tc>
        <w:tc>
          <w:tcPr>
            <w:tcW w:w="469" w:type="pct"/>
            <w:shd w:val="clear" w:color="auto" w:fill="FFFFFF"/>
            <w:tcMar>
              <w:top w:w="30" w:type="dxa"/>
              <w:left w:w="30" w:type="dxa"/>
              <w:bottom w:w="30" w:type="dxa"/>
              <w:right w:w="30" w:type="dxa"/>
            </w:tcMar>
            <w:vAlign w:val="center"/>
          </w:tcPr>
          <w:p w14:paraId="4150DDA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77" w:type="pct"/>
            <w:shd w:val="clear" w:color="auto" w:fill="FFFFFF"/>
            <w:tcMar>
              <w:top w:w="30" w:type="dxa"/>
              <w:left w:w="30" w:type="dxa"/>
              <w:bottom w:w="30" w:type="dxa"/>
              <w:right w:w="30" w:type="dxa"/>
            </w:tcMar>
            <w:vAlign w:val="center"/>
          </w:tcPr>
          <w:p w14:paraId="5653E33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6B40EB3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29" w:type="pct"/>
            <w:shd w:val="clear" w:color="auto" w:fill="FFFFFF"/>
            <w:tcMar>
              <w:top w:w="30" w:type="dxa"/>
              <w:left w:w="30" w:type="dxa"/>
              <w:bottom w:w="30" w:type="dxa"/>
              <w:right w:w="30" w:type="dxa"/>
            </w:tcMar>
            <w:vAlign w:val="center"/>
          </w:tcPr>
          <w:p w14:paraId="348C208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2.7391</w:t>
            </w:r>
          </w:p>
        </w:tc>
        <w:tc>
          <w:tcPr>
            <w:tcW w:w="1042" w:type="pct"/>
            <w:shd w:val="clear" w:color="auto" w:fill="FFFFFF"/>
            <w:tcMar>
              <w:top w:w="30" w:type="dxa"/>
              <w:left w:w="30" w:type="dxa"/>
              <w:bottom w:w="30" w:type="dxa"/>
              <w:right w:w="30" w:type="dxa"/>
            </w:tcMar>
            <w:vAlign w:val="center"/>
          </w:tcPr>
          <w:p w14:paraId="7EC7BD0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1.00955</w:t>
            </w:r>
          </w:p>
        </w:tc>
      </w:tr>
      <w:tr w:rsidR="005E263E" w:rsidRPr="00AA32E1" w14:paraId="7679DA41" w14:textId="77777777" w:rsidTr="000905AA">
        <w:trPr>
          <w:cantSplit/>
          <w:tblHeader/>
        </w:trPr>
        <w:tc>
          <w:tcPr>
            <w:tcW w:w="1302" w:type="pct"/>
            <w:shd w:val="clear" w:color="auto" w:fill="FFFFFF"/>
            <w:tcMar>
              <w:top w:w="30" w:type="dxa"/>
              <w:left w:w="30" w:type="dxa"/>
              <w:bottom w:w="30" w:type="dxa"/>
              <w:right w:w="30" w:type="dxa"/>
            </w:tcMar>
          </w:tcPr>
          <w:p w14:paraId="77B31E2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RDF3</w:t>
            </w:r>
          </w:p>
        </w:tc>
        <w:tc>
          <w:tcPr>
            <w:tcW w:w="469" w:type="pct"/>
            <w:shd w:val="clear" w:color="auto" w:fill="FFFFFF"/>
            <w:tcMar>
              <w:top w:w="30" w:type="dxa"/>
              <w:left w:w="30" w:type="dxa"/>
              <w:bottom w:w="30" w:type="dxa"/>
              <w:right w:w="30" w:type="dxa"/>
            </w:tcMar>
            <w:vAlign w:val="center"/>
          </w:tcPr>
          <w:p w14:paraId="2D98B50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77" w:type="pct"/>
            <w:shd w:val="clear" w:color="auto" w:fill="FFFFFF"/>
            <w:tcMar>
              <w:top w:w="30" w:type="dxa"/>
              <w:left w:w="30" w:type="dxa"/>
              <w:bottom w:w="30" w:type="dxa"/>
              <w:right w:w="30" w:type="dxa"/>
            </w:tcMar>
            <w:vAlign w:val="center"/>
          </w:tcPr>
          <w:p w14:paraId="5664C48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72D333D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4.00</w:t>
            </w:r>
          </w:p>
        </w:tc>
        <w:tc>
          <w:tcPr>
            <w:tcW w:w="729" w:type="pct"/>
            <w:shd w:val="clear" w:color="auto" w:fill="FFFFFF"/>
            <w:tcMar>
              <w:top w:w="30" w:type="dxa"/>
              <w:left w:w="30" w:type="dxa"/>
              <w:bottom w:w="30" w:type="dxa"/>
              <w:right w:w="30" w:type="dxa"/>
            </w:tcMar>
            <w:vAlign w:val="center"/>
          </w:tcPr>
          <w:p w14:paraId="2B79D5E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2.8696</w:t>
            </w:r>
          </w:p>
        </w:tc>
        <w:tc>
          <w:tcPr>
            <w:tcW w:w="1042" w:type="pct"/>
            <w:shd w:val="clear" w:color="auto" w:fill="FFFFFF"/>
            <w:tcMar>
              <w:top w:w="30" w:type="dxa"/>
              <w:left w:w="30" w:type="dxa"/>
              <w:bottom w:w="30" w:type="dxa"/>
              <w:right w:w="30" w:type="dxa"/>
            </w:tcMar>
            <w:vAlign w:val="center"/>
          </w:tcPr>
          <w:p w14:paraId="7C0F6A9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.92216</w:t>
            </w:r>
          </w:p>
        </w:tc>
      </w:tr>
      <w:tr w:rsidR="005E263E" w:rsidRPr="00AA32E1" w14:paraId="15E71EF0" w14:textId="77777777" w:rsidTr="000905AA">
        <w:trPr>
          <w:cantSplit/>
          <w:tblHeader/>
        </w:trPr>
        <w:tc>
          <w:tcPr>
            <w:tcW w:w="1302" w:type="pct"/>
            <w:shd w:val="clear" w:color="auto" w:fill="FFFFFF"/>
            <w:tcMar>
              <w:top w:w="30" w:type="dxa"/>
              <w:left w:w="30" w:type="dxa"/>
              <w:bottom w:w="30" w:type="dxa"/>
              <w:right w:w="30" w:type="dxa"/>
            </w:tcMar>
          </w:tcPr>
          <w:p w14:paraId="3BB6EBE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RDF4</w:t>
            </w:r>
          </w:p>
        </w:tc>
        <w:tc>
          <w:tcPr>
            <w:tcW w:w="469" w:type="pct"/>
            <w:shd w:val="clear" w:color="auto" w:fill="FFFFFF"/>
            <w:tcMar>
              <w:top w:w="30" w:type="dxa"/>
              <w:left w:w="30" w:type="dxa"/>
              <w:bottom w:w="30" w:type="dxa"/>
              <w:right w:w="30" w:type="dxa"/>
            </w:tcMar>
            <w:vAlign w:val="center"/>
          </w:tcPr>
          <w:p w14:paraId="73857D6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77" w:type="pct"/>
            <w:shd w:val="clear" w:color="auto" w:fill="FFFFFF"/>
            <w:tcMar>
              <w:top w:w="30" w:type="dxa"/>
              <w:left w:w="30" w:type="dxa"/>
              <w:bottom w:w="30" w:type="dxa"/>
              <w:right w:w="30" w:type="dxa"/>
            </w:tcMar>
            <w:vAlign w:val="center"/>
          </w:tcPr>
          <w:p w14:paraId="6328828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2424522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29" w:type="pct"/>
            <w:shd w:val="clear" w:color="auto" w:fill="FFFFFF"/>
            <w:tcMar>
              <w:top w:w="30" w:type="dxa"/>
              <w:left w:w="30" w:type="dxa"/>
              <w:bottom w:w="30" w:type="dxa"/>
              <w:right w:w="30" w:type="dxa"/>
            </w:tcMar>
            <w:vAlign w:val="center"/>
          </w:tcPr>
          <w:p w14:paraId="2071801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3.0580</w:t>
            </w:r>
          </w:p>
        </w:tc>
        <w:tc>
          <w:tcPr>
            <w:tcW w:w="1042" w:type="pct"/>
            <w:shd w:val="clear" w:color="auto" w:fill="FFFFFF"/>
            <w:tcMar>
              <w:top w:w="30" w:type="dxa"/>
              <w:left w:w="30" w:type="dxa"/>
              <w:bottom w:w="30" w:type="dxa"/>
              <w:right w:w="30" w:type="dxa"/>
            </w:tcMar>
            <w:vAlign w:val="center"/>
          </w:tcPr>
          <w:p w14:paraId="3D4B898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1.24716</w:t>
            </w:r>
          </w:p>
        </w:tc>
      </w:tr>
      <w:tr w:rsidR="005E263E" w:rsidRPr="00AA32E1" w14:paraId="38FE31E5" w14:textId="77777777" w:rsidTr="000905AA">
        <w:trPr>
          <w:cantSplit/>
          <w:tblHeader/>
        </w:trPr>
        <w:tc>
          <w:tcPr>
            <w:tcW w:w="1302" w:type="pct"/>
            <w:shd w:val="clear" w:color="auto" w:fill="FFFFFF"/>
            <w:tcMar>
              <w:top w:w="30" w:type="dxa"/>
              <w:left w:w="30" w:type="dxa"/>
              <w:bottom w:w="30" w:type="dxa"/>
              <w:right w:w="30" w:type="dxa"/>
            </w:tcMar>
          </w:tcPr>
          <w:p w14:paraId="5E9AA77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RDF5</w:t>
            </w:r>
          </w:p>
        </w:tc>
        <w:tc>
          <w:tcPr>
            <w:tcW w:w="469" w:type="pct"/>
            <w:shd w:val="clear" w:color="auto" w:fill="FFFFFF"/>
            <w:tcMar>
              <w:top w:w="30" w:type="dxa"/>
              <w:left w:w="30" w:type="dxa"/>
              <w:bottom w:w="30" w:type="dxa"/>
              <w:right w:w="30" w:type="dxa"/>
            </w:tcMar>
            <w:vAlign w:val="center"/>
          </w:tcPr>
          <w:p w14:paraId="6E16741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77" w:type="pct"/>
            <w:shd w:val="clear" w:color="auto" w:fill="FFFFFF"/>
            <w:tcMar>
              <w:top w:w="30" w:type="dxa"/>
              <w:left w:w="30" w:type="dxa"/>
              <w:bottom w:w="30" w:type="dxa"/>
              <w:right w:w="30" w:type="dxa"/>
            </w:tcMar>
            <w:vAlign w:val="center"/>
          </w:tcPr>
          <w:p w14:paraId="6E71631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0EF41CA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29" w:type="pct"/>
            <w:shd w:val="clear" w:color="auto" w:fill="FFFFFF"/>
            <w:tcMar>
              <w:top w:w="30" w:type="dxa"/>
              <w:left w:w="30" w:type="dxa"/>
              <w:bottom w:w="30" w:type="dxa"/>
              <w:right w:w="30" w:type="dxa"/>
            </w:tcMar>
            <w:vAlign w:val="center"/>
          </w:tcPr>
          <w:p w14:paraId="45FB6F9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3.1884</w:t>
            </w:r>
          </w:p>
        </w:tc>
        <w:tc>
          <w:tcPr>
            <w:tcW w:w="1042" w:type="pct"/>
            <w:shd w:val="clear" w:color="auto" w:fill="FFFFFF"/>
            <w:tcMar>
              <w:top w:w="30" w:type="dxa"/>
              <w:left w:w="30" w:type="dxa"/>
              <w:bottom w:w="30" w:type="dxa"/>
              <w:right w:w="30" w:type="dxa"/>
            </w:tcMar>
            <w:vAlign w:val="center"/>
          </w:tcPr>
          <w:p w14:paraId="59F577B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0.82739</w:t>
            </w:r>
          </w:p>
        </w:tc>
      </w:tr>
      <w:tr w:rsidR="005E263E" w:rsidRPr="00AA32E1" w14:paraId="0ED114B9" w14:textId="77777777" w:rsidTr="000905AA">
        <w:trPr>
          <w:cantSplit/>
          <w:tblHeader/>
        </w:trPr>
        <w:tc>
          <w:tcPr>
            <w:tcW w:w="1302" w:type="pct"/>
            <w:shd w:val="clear" w:color="auto" w:fill="FFFFFF"/>
            <w:tcMar>
              <w:top w:w="30" w:type="dxa"/>
              <w:left w:w="30" w:type="dxa"/>
              <w:bottom w:w="30" w:type="dxa"/>
              <w:right w:w="30" w:type="dxa"/>
            </w:tcMar>
          </w:tcPr>
          <w:p w14:paraId="0ACD018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RDF6</w:t>
            </w:r>
          </w:p>
        </w:tc>
        <w:tc>
          <w:tcPr>
            <w:tcW w:w="469" w:type="pct"/>
            <w:shd w:val="clear" w:color="auto" w:fill="FFFFFF"/>
            <w:tcMar>
              <w:top w:w="30" w:type="dxa"/>
              <w:left w:w="30" w:type="dxa"/>
              <w:bottom w:w="30" w:type="dxa"/>
              <w:right w:w="30" w:type="dxa"/>
            </w:tcMar>
            <w:vAlign w:val="center"/>
          </w:tcPr>
          <w:p w14:paraId="75C12C2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77" w:type="pct"/>
            <w:shd w:val="clear" w:color="auto" w:fill="FFFFFF"/>
            <w:tcMar>
              <w:top w:w="30" w:type="dxa"/>
              <w:left w:w="30" w:type="dxa"/>
              <w:bottom w:w="30" w:type="dxa"/>
              <w:right w:w="30" w:type="dxa"/>
            </w:tcMar>
            <w:vAlign w:val="center"/>
          </w:tcPr>
          <w:p w14:paraId="0EC7BB4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1F681D8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29" w:type="pct"/>
            <w:shd w:val="clear" w:color="auto" w:fill="FFFFFF"/>
            <w:tcMar>
              <w:top w:w="30" w:type="dxa"/>
              <w:left w:w="30" w:type="dxa"/>
              <w:bottom w:w="30" w:type="dxa"/>
              <w:right w:w="30" w:type="dxa"/>
            </w:tcMar>
            <w:vAlign w:val="center"/>
          </w:tcPr>
          <w:p w14:paraId="7840DD1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3.0580</w:t>
            </w:r>
          </w:p>
        </w:tc>
        <w:tc>
          <w:tcPr>
            <w:tcW w:w="1042" w:type="pct"/>
            <w:shd w:val="clear" w:color="auto" w:fill="FFFFFF"/>
            <w:tcMar>
              <w:top w:w="30" w:type="dxa"/>
              <w:left w:w="30" w:type="dxa"/>
              <w:bottom w:w="30" w:type="dxa"/>
              <w:right w:w="30" w:type="dxa"/>
            </w:tcMar>
            <w:vAlign w:val="center"/>
          </w:tcPr>
          <w:p w14:paraId="6B6EA58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1.08308</w:t>
            </w:r>
          </w:p>
        </w:tc>
      </w:tr>
      <w:tr w:rsidR="005E263E" w:rsidRPr="00AA32E1" w14:paraId="3E1AE5E0" w14:textId="77777777" w:rsidTr="000905AA">
        <w:trPr>
          <w:cantSplit/>
          <w:tblHeader/>
        </w:trPr>
        <w:tc>
          <w:tcPr>
            <w:tcW w:w="1302" w:type="pct"/>
            <w:shd w:val="clear" w:color="auto" w:fill="FFFFFF"/>
            <w:tcMar>
              <w:top w:w="30" w:type="dxa"/>
              <w:left w:w="30" w:type="dxa"/>
              <w:bottom w:w="30" w:type="dxa"/>
              <w:right w:w="30" w:type="dxa"/>
            </w:tcMar>
          </w:tcPr>
          <w:p w14:paraId="0614A73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RDF7</w:t>
            </w:r>
          </w:p>
        </w:tc>
        <w:tc>
          <w:tcPr>
            <w:tcW w:w="469" w:type="pct"/>
            <w:shd w:val="clear" w:color="auto" w:fill="FFFFFF"/>
            <w:tcMar>
              <w:top w:w="30" w:type="dxa"/>
              <w:left w:w="30" w:type="dxa"/>
              <w:bottom w:w="30" w:type="dxa"/>
              <w:right w:w="30" w:type="dxa"/>
            </w:tcMar>
            <w:vAlign w:val="center"/>
          </w:tcPr>
          <w:p w14:paraId="6160CB8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677" w:type="pct"/>
            <w:shd w:val="clear" w:color="auto" w:fill="FFFFFF"/>
            <w:tcMar>
              <w:top w:w="30" w:type="dxa"/>
              <w:left w:w="30" w:type="dxa"/>
              <w:bottom w:w="30" w:type="dxa"/>
              <w:right w:w="30" w:type="dxa"/>
            </w:tcMar>
            <w:vAlign w:val="center"/>
          </w:tcPr>
          <w:p w14:paraId="596D5B0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1.00</w:t>
            </w:r>
          </w:p>
        </w:tc>
        <w:tc>
          <w:tcPr>
            <w:tcW w:w="781" w:type="pct"/>
            <w:shd w:val="clear" w:color="auto" w:fill="FFFFFF"/>
            <w:tcMar>
              <w:top w:w="30" w:type="dxa"/>
              <w:left w:w="30" w:type="dxa"/>
              <w:bottom w:w="30" w:type="dxa"/>
              <w:right w:w="30" w:type="dxa"/>
            </w:tcMar>
            <w:vAlign w:val="center"/>
          </w:tcPr>
          <w:p w14:paraId="534AED7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5.00</w:t>
            </w:r>
          </w:p>
        </w:tc>
        <w:tc>
          <w:tcPr>
            <w:tcW w:w="729" w:type="pct"/>
            <w:shd w:val="clear" w:color="auto" w:fill="FFFFFF"/>
            <w:tcMar>
              <w:top w:w="30" w:type="dxa"/>
              <w:left w:w="30" w:type="dxa"/>
              <w:bottom w:w="30" w:type="dxa"/>
              <w:right w:w="30" w:type="dxa"/>
            </w:tcMar>
            <w:vAlign w:val="center"/>
          </w:tcPr>
          <w:p w14:paraId="7C84F61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3.2174</w:t>
            </w:r>
          </w:p>
        </w:tc>
        <w:tc>
          <w:tcPr>
            <w:tcW w:w="1042" w:type="pct"/>
            <w:shd w:val="clear" w:color="auto" w:fill="FFFFFF"/>
            <w:tcMar>
              <w:top w:w="30" w:type="dxa"/>
              <w:left w:w="30" w:type="dxa"/>
              <w:bottom w:w="30" w:type="dxa"/>
              <w:right w:w="30" w:type="dxa"/>
            </w:tcMar>
            <w:vAlign w:val="center"/>
          </w:tcPr>
          <w:p w14:paraId="13E11CC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0.93729</w:t>
            </w:r>
          </w:p>
        </w:tc>
      </w:tr>
      <w:tr w:rsidR="005E263E" w:rsidRPr="00AA32E1" w14:paraId="7B312170" w14:textId="77777777" w:rsidTr="000905AA">
        <w:trPr>
          <w:cantSplit/>
          <w:tblHeader/>
        </w:trPr>
        <w:tc>
          <w:tcPr>
            <w:tcW w:w="1302" w:type="pct"/>
            <w:shd w:val="clear" w:color="auto" w:fill="FFFFFF"/>
            <w:tcMar>
              <w:top w:w="30" w:type="dxa"/>
              <w:left w:w="30" w:type="dxa"/>
              <w:bottom w:w="30" w:type="dxa"/>
              <w:right w:w="30" w:type="dxa"/>
            </w:tcMar>
          </w:tcPr>
          <w:p w14:paraId="28F19074"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Grand Total</w:t>
            </w:r>
          </w:p>
        </w:tc>
        <w:tc>
          <w:tcPr>
            <w:tcW w:w="469" w:type="pct"/>
            <w:shd w:val="clear" w:color="auto" w:fill="FFFFFF"/>
            <w:tcMar>
              <w:top w:w="30" w:type="dxa"/>
              <w:left w:w="30" w:type="dxa"/>
              <w:bottom w:w="30" w:type="dxa"/>
              <w:right w:w="30" w:type="dxa"/>
            </w:tcMar>
            <w:vAlign w:val="center"/>
          </w:tcPr>
          <w:p w14:paraId="563F6FF5"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69</w:t>
            </w:r>
          </w:p>
        </w:tc>
        <w:tc>
          <w:tcPr>
            <w:tcW w:w="677" w:type="pct"/>
            <w:shd w:val="clear" w:color="auto" w:fill="FFFFFF"/>
            <w:tcMar>
              <w:top w:w="30" w:type="dxa"/>
              <w:left w:w="30" w:type="dxa"/>
              <w:bottom w:w="30" w:type="dxa"/>
              <w:right w:w="30" w:type="dxa"/>
            </w:tcMar>
            <w:vAlign w:val="center"/>
          </w:tcPr>
          <w:p w14:paraId="5AB6DE39"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1.43</w:t>
            </w:r>
          </w:p>
        </w:tc>
        <w:tc>
          <w:tcPr>
            <w:tcW w:w="781" w:type="pct"/>
            <w:shd w:val="clear" w:color="auto" w:fill="FFFFFF"/>
            <w:tcMar>
              <w:top w:w="30" w:type="dxa"/>
              <w:left w:w="30" w:type="dxa"/>
              <w:bottom w:w="30" w:type="dxa"/>
              <w:right w:w="30" w:type="dxa"/>
            </w:tcMar>
            <w:vAlign w:val="center"/>
          </w:tcPr>
          <w:p w14:paraId="347810D7"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4.43</w:t>
            </w:r>
          </w:p>
        </w:tc>
        <w:tc>
          <w:tcPr>
            <w:tcW w:w="729" w:type="pct"/>
            <w:shd w:val="clear" w:color="auto" w:fill="FFFFFF"/>
            <w:tcMar>
              <w:top w:w="30" w:type="dxa"/>
              <w:left w:w="30" w:type="dxa"/>
              <w:bottom w:w="30" w:type="dxa"/>
              <w:right w:w="30" w:type="dxa"/>
            </w:tcMar>
            <w:vAlign w:val="center"/>
          </w:tcPr>
          <w:p w14:paraId="7D2AE3AA"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3.0103</w:t>
            </w:r>
          </w:p>
        </w:tc>
        <w:tc>
          <w:tcPr>
            <w:tcW w:w="1042" w:type="pct"/>
            <w:shd w:val="clear" w:color="auto" w:fill="FFFFFF"/>
            <w:tcMar>
              <w:top w:w="30" w:type="dxa"/>
              <w:left w:w="30" w:type="dxa"/>
              <w:bottom w:w="30" w:type="dxa"/>
              <w:right w:w="30" w:type="dxa"/>
            </w:tcMar>
            <w:vAlign w:val="center"/>
          </w:tcPr>
          <w:p w14:paraId="716CEF9C" w14:textId="77777777" w:rsidR="005E263E" w:rsidRPr="00AA32E1" w:rsidRDefault="005E263E" w:rsidP="00D25C9C">
            <w:pPr>
              <w:keepNext/>
              <w:autoSpaceDE w:val="0"/>
              <w:autoSpaceDN w:val="0"/>
              <w:adjustRightInd w:val="0"/>
              <w:spacing w:after="0" w:line="240" w:lineRule="auto"/>
              <w:jc w:val="both"/>
              <w:rPr>
                <w:rFonts w:ascii="Calibri" w:hAnsi="Calibri" w:cs="Calibri"/>
                <w:b/>
                <w:color w:val="000000"/>
                <w:sz w:val="24"/>
                <w:szCs w:val="24"/>
              </w:rPr>
            </w:pPr>
            <w:r w:rsidRPr="00AA32E1">
              <w:rPr>
                <w:rFonts w:ascii="Calibri" w:hAnsi="Calibri" w:cs="Calibri"/>
                <w:b/>
                <w:color w:val="000000"/>
                <w:sz w:val="24"/>
                <w:szCs w:val="24"/>
              </w:rPr>
              <w:t>0.72645</w:t>
            </w:r>
          </w:p>
        </w:tc>
      </w:tr>
    </w:tbl>
    <w:p w14:paraId="26DCC9F0" w14:textId="77777777" w:rsidR="005E263E" w:rsidRPr="00AA32E1" w:rsidRDefault="005E263E" w:rsidP="000905AA">
      <w:pPr>
        <w:keepNext/>
        <w:autoSpaceDE w:val="0"/>
        <w:autoSpaceDN w:val="0"/>
        <w:adjustRightInd w:val="0"/>
        <w:spacing w:after="0"/>
        <w:jc w:val="both"/>
        <w:rPr>
          <w:rFonts w:ascii="Calibri" w:hAnsi="Calibri" w:cs="Calibri"/>
          <w:sz w:val="24"/>
          <w:szCs w:val="24"/>
        </w:rPr>
      </w:pPr>
      <w:r w:rsidRPr="00AA32E1">
        <w:rPr>
          <w:rFonts w:ascii="Calibri" w:hAnsi="Calibri" w:cs="Calibri"/>
          <w:b/>
          <w:i/>
          <w:sz w:val="24"/>
          <w:szCs w:val="24"/>
        </w:rPr>
        <w:t>Source:</w:t>
      </w:r>
      <w:r w:rsidRPr="00AA32E1">
        <w:rPr>
          <w:rFonts w:ascii="Calibri" w:hAnsi="Calibri" w:cs="Calibri"/>
          <w:sz w:val="24"/>
          <w:szCs w:val="24"/>
        </w:rPr>
        <w:t xml:space="preserve"> Primary Data-Questionnaire</w:t>
      </w:r>
    </w:p>
    <w:p w14:paraId="7F3BC696" w14:textId="77777777" w:rsidR="005E263E" w:rsidRPr="00AA32E1" w:rsidRDefault="005E263E" w:rsidP="005E263E">
      <w:pPr>
        <w:pStyle w:val="NoSpacing"/>
        <w:ind w:firstLine="567"/>
        <w:jc w:val="both"/>
        <w:rPr>
          <w:rFonts w:cs="Calibri"/>
          <w:sz w:val="24"/>
          <w:szCs w:val="24"/>
        </w:rPr>
      </w:pPr>
    </w:p>
    <w:p w14:paraId="333E76DB"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sz w:val="24"/>
          <w:szCs w:val="24"/>
        </w:rPr>
        <w:t xml:space="preserve">On average respondents were not sure as to whether the revenue distribution in the university was fair and whether their departmental budget was adequate. The overall mean obtained was 3.0103 at a standard deviation of 0.72645. The minimum value was 1.43 (disagree) and the maximum was 4.43 (strongly agree). On average respondent were not sure as to: whether their responsibility </w:t>
      </w:r>
      <w:proofErr w:type="spellStart"/>
      <w:r w:rsidRPr="00AA32E1">
        <w:rPr>
          <w:rFonts w:ascii="Calibri" w:hAnsi="Calibri" w:cs="Calibri"/>
          <w:sz w:val="24"/>
          <w:szCs w:val="24"/>
        </w:rPr>
        <w:t>centre</w:t>
      </w:r>
      <w:proofErr w:type="spellEnd"/>
      <w:r w:rsidRPr="00AA32E1">
        <w:rPr>
          <w:rFonts w:ascii="Calibri" w:hAnsi="Calibri" w:cs="Calibri"/>
          <w:sz w:val="24"/>
          <w:szCs w:val="24"/>
        </w:rPr>
        <w:t xml:space="preserve"> receives the budget that it deserved (RDF1=2.9420), </w:t>
      </w:r>
      <w:r w:rsidRPr="00AA32E1">
        <w:rPr>
          <w:rFonts w:ascii="Calibri" w:hAnsi="Calibri" w:cs="Calibri"/>
          <w:sz w:val="24"/>
          <w:szCs w:val="24"/>
        </w:rPr>
        <w:lastRenderedPageBreak/>
        <w:t xml:space="preserve">whether the budget allocated to their responsibility area adequately reflects the needs (RDF2=2.7391) and whether their responsibility area’s budget was what they expected to be (RDF3=2.8696). This is because respondents were not aware of the level of resource available to the faculties and the allocation mechanism in the University. </w:t>
      </w:r>
    </w:p>
    <w:p w14:paraId="7E628DE4" w14:textId="77777777" w:rsidR="005E263E" w:rsidRPr="00AA32E1" w:rsidRDefault="005E263E" w:rsidP="005E263E">
      <w:pPr>
        <w:pStyle w:val="NoSpacing"/>
        <w:ind w:firstLine="567"/>
        <w:jc w:val="both"/>
        <w:rPr>
          <w:rFonts w:cs="Calibri"/>
          <w:b/>
          <w:sz w:val="24"/>
          <w:szCs w:val="24"/>
        </w:rPr>
      </w:pPr>
    </w:p>
    <w:p w14:paraId="25EA57F8" w14:textId="77777777" w:rsidR="005E263E" w:rsidRPr="00AA32E1" w:rsidRDefault="005E263E" w:rsidP="000905AA">
      <w:pPr>
        <w:keepNext/>
        <w:tabs>
          <w:tab w:val="left" w:pos="993"/>
        </w:tabs>
        <w:spacing w:after="60" w:line="240" w:lineRule="auto"/>
        <w:jc w:val="both"/>
        <w:rPr>
          <w:rFonts w:ascii="Calibri" w:hAnsi="Calibri" w:cs="Calibri"/>
          <w:b/>
          <w:i/>
          <w:sz w:val="24"/>
          <w:szCs w:val="24"/>
        </w:rPr>
      </w:pPr>
      <w:r w:rsidRPr="00AA32E1">
        <w:rPr>
          <w:rFonts w:ascii="Calibri" w:hAnsi="Calibri" w:cs="Calibri"/>
          <w:b/>
          <w:i/>
          <w:sz w:val="24"/>
          <w:szCs w:val="24"/>
        </w:rPr>
        <w:t>Correlation Results</w:t>
      </w:r>
    </w:p>
    <w:p w14:paraId="2A3D8D8D"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sz w:val="24"/>
          <w:szCs w:val="24"/>
        </w:rPr>
        <w:t>The results in Table 6</w:t>
      </w:r>
      <w:r w:rsidRPr="00AA32E1">
        <w:rPr>
          <w:rFonts w:ascii="Calibri" w:hAnsi="Calibri" w:cs="Calibri"/>
          <w:b/>
          <w:bCs/>
          <w:sz w:val="24"/>
          <w:szCs w:val="24"/>
        </w:rPr>
        <w:t xml:space="preserve"> </w:t>
      </w:r>
      <w:r w:rsidRPr="00AA32E1">
        <w:rPr>
          <w:rFonts w:ascii="Calibri" w:hAnsi="Calibri" w:cs="Calibri"/>
          <w:sz w:val="24"/>
          <w:szCs w:val="24"/>
        </w:rPr>
        <w:t>below were generated using the SPSS software program to explore the Pearson’s Correlations, in order to establish the relationships between the variables.</w:t>
      </w:r>
    </w:p>
    <w:p w14:paraId="166C2681" w14:textId="77777777" w:rsidR="005E263E" w:rsidRPr="00AA32E1" w:rsidRDefault="005E263E" w:rsidP="005E263E">
      <w:pPr>
        <w:keepNext/>
        <w:autoSpaceDE w:val="0"/>
        <w:autoSpaceDN w:val="0"/>
        <w:adjustRightInd w:val="0"/>
        <w:spacing w:after="0" w:line="240" w:lineRule="auto"/>
        <w:jc w:val="both"/>
        <w:rPr>
          <w:rFonts w:ascii="Calibri" w:hAnsi="Calibri" w:cs="Calibri"/>
          <w:i/>
          <w:sz w:val="24"/>
          <w:szCs w:val="24"/>
        </w:rPr>
      </w:pPr>
    </w:p>
    <w:p w14:paraId="20B10449" w14:textId="77777777" w:rsidR="000905AA" w:rsidRPr="000905AA" w:rsidRDefault="005E263E" w:rsidP="005E263E">
      <w:pPr>
        <w:keepNext/>
        <w:autoSpaceDE w:val="0"/>
        <w:autoSpaceDN w:val="0"/>
        <w:adjustRightInd w:val="0"/>
        <w:spacing w:after="0" w:line="240" w:lineRule="auto"/>
        <w:jc w:val="both"/>
        <w:rPr>
          <w:rFonts w:ascii="Calibri" w:hAnsi="Calibri" w:cs="Calibri"/>
          <w:iCs/>
          <w:sz w:val="24"/>
          <w:szCs w:val="24"/>
        </w:rPr>
      </w:pPr>
      <w:r w:rsidRPr="000905AA">
        <w:rPr>
          <w:rFonts w:ascii="Calibri" w:hAnsi="Calibri" w:cs="Calibri"/>
          <w:iCs/>
          <w:sz w:val="24"/>
          <w:szCs w:val="24"/>
        </w:rPr>
        <w:t xml:space="preserve">Table </w:t>
      </w:r>
      <w:r w:rsidR="000905AA" w:rsidRPr="000905AA">
        <w:rPr>
          <w:rFonts w:ascii="Calibri" w:hAnsi="Calibri" w:cs="Calibri"/>
          <w:iCs/>
          <w:sz w:val="24"/>
          <w:szCs w:val="24"/>
        </w:rPr>
        <w:t>6</w:t>
      </w:r>
    </w:p>
    <w:p w14:paraId="03605F3B" w14:textId="2E1A57F7" w:rsidR="005E263E" w:rsidRPr="000905AA" w:rsidRDefault="005E263E" w:rsidP="005E263E">
      <w:pPr>
        <w:keepNext/>
        <w:autoSpaceDE w:val="0"/>
        <w:autoSpaceDN w:val="0"/>
        <w:adjustRightInd w:val="0"/>
        <w:spacing w:after="0" w:line="240" w:lineRule="auto"/>
        <w:jc w:val="both"/>
        <w:rPr>
          <w:rFonts w:ascii="Calibri" w:hAnsi="Calibri" w:cs="Calibri"/>
          <w:i/>
          <w:iCs/>
          <w:sz w:val="24"/>
          <w:szCs w:val="24"/>
        </w:rPr>
      </w:pPr>
      <w:r w:rsidRPr="000905AA">
        <w:rPr>
          <w:rFonts w:ascii="Calibri" w:hAnsi="Calibri" w:cs="Calibri"/>
          <w:i/>
          <w:iCs/>
          <w:sz w:val="24"/>
          <w:szCs w:val="24"/>
        </w:rPr>
        <w:t xml:space="preserve">Pearson’s Correlations </w:t>
      </w:r>
      <w:r w:rsidR="000905AA" w:rsidRPr="000905AA">
        <w:rPr>
          <w:rFonts w:ascii="Calibri" w:hAnsi="Calibri" w:cs="Calibri"/>
          <w:i/>
          <w:iCs/>
          <w:sz w:val="24"/>
          <w:szCs w:val="24"/>
        </w:rPr>
        <w:t>Results</w:t>
      </w:r>
    </w:p>
    <w:tbl>
      <w:tblPr>
        <w:tblW w:w="84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60"/>
        <w:gridCol w:w="1620"/>
        <w:gridCol w:w="900"/>
        <w:gridCol w:w="990"/>
        <w:gridCol w:w="1080"/>
        <w:gridCol w:w="1350"/>
        <w:gridCol w:w="1292"/>
      </w:tblGrid>
      <w:tr w:rsidR="005E263E" w:rsidRPr="00AA32E1" w14:paraId="66A1E749" w14:textId="77777777" w:rsidTr="00D25C9C">
        <w:trPr>
          <w:cantSplit/>
          <w:tblHeader/>
          <w:jc w:val="center"/>
        </w:trPr>
        <w:tc>
          <w:tcPr>
            <w:tcW w:w="126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3320B37"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6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1E4F9F9"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85699C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roofErr w:type="spellStart"/>
            <w:r w:rsidRPr="00AA32E1">
              <w:rPr>
                <w:rFonts w:ascii="Calibri" w:hAnsi="Calibri" w:cs="Calibri"/>
                <w:color w:val="000000"/>
                <w:sz w:val="24"/>
                <w:szCs w:val="24"/>
              </w:rPr>
              <w:t>BPart</w:t>
            </w:r>
            <w:proofErr w:type="spellEnd"/>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5541D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roofErr w:type="spellStart"/>
            <w:r w:rsidRPr="00AA32E1">
              <w:rPr>
                <w:rFonts w:ascii="Calibri" w:hAnsi="Calibri" w:cs="Calibri"/>
                <w:color w:val="000000"/>
                <w:sz w:val="24"/>
                <w:szCs w:val="24"/>
              </w:rPr>
              <w:t>BGoal</w:t>
            </w:r>
            <w:proofErr w:type="spellEnd"/>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ACC1FA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roofErr w:type="spellStart"/>
            <w:r w:rsidRPr="00AA32E1">
              <w:rPr>
                <w:rFonts w:ascii="Calibri" w:hAnsi="Calibri" w:cs="Calibri"/>
                <w:color w:val="000000"/>
                <w:sz w:val="24"/>
                <w:szCs w:val="24"/>
              </w:rPr>
              <w:t>DFairness</w:t>
            </w:r>
            <w:proofErr w:type="spellEnd"/>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E6891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Performance</w:t>
            </w:r>
          </w:p>
        </w:tc>
        <w:tc>
          <w:tcPr>
            <w:tcW w:w="12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E25AE7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Commitment</w:t>
            </w:r>
          </w:p>
        </w:tc>
      </w:tr>
      <w:tr w:rsidR="005E263E" w:rsidRPr="00AA32E1" w14:paraId="7F5F0CAD" w14:textId="77777777" w:rsidTr="00D25C9C">
        <w:trPr>
          <w:cantSplit/>
          <w:trHeight w:val="20"/>
          <w:tblHeader/>
          <w:jc w:val="center"/>
        </w:trPr>
        <w:tc>
          <w:tcPr>
            <w:tcW w:w="126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6C32CB3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roofErr w:type="spellStart"/>
            <w:r w:rsidRPr="00AA32E1">
              <w:rPr>
                <w:rFonts w:ascii="Calibri" w:hAnsi="Calibri" w:cs="Calibri"/>
                <w:color w:val="000000"/>
                <w:sz w:val="24"/>
                <w:szCs w:val="24"/>
              </w:rPr>
              <w:t>BPart</w:t>
            </w:r>
            <w:proofErr w:type="spellEnd"/>
          </w:p>
        </w:tc>
        <w:tc>
          <w:tcPr>
            <w:tcW w:w="16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3ABB65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Pearson Correlation</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D7EA65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w:t>
            </w: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14:paraId="1EBFE16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.603</w:t>
            </w:r>
            <w:r w:rsidRPr="00AA32E1">
              <w:rPr>
                <w:rFonts w:ascii="Calibri" w:hAnsi="Calibri" w:cs="Calibri"/>
                <w:color w:val="000000"/>
                <w:sz w:val="24"/>
                <w:szCs w:val="24"/>
                <w:vertAlign w:val="superscript"/>
              </w:rPr>
              <w:t>**</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14:paraId="4237BE3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.395</w:t>
            </w:r>
            <w:r w:rsidRPr="00AA32E1">
              <w:rPr>
                <w:rFonts w:ascii="Calibri" w:hAnsi="Calibri" w:cs="Calibri"/>
                <w:color w:val="000000"/>
                <w:sz w:val="24"/>
                <w:szCs w:val="24"/>
                <w:vertAlign w:val="superscript"/>
              </w:rPr>
              <w:t>**</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14:paraId="6F88C62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.233</w:t>
            </w:r>
          </w:p>
        </w:tc>
        <w:tc>
          <w:tcPr>
            <w:tcW w:w="12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D26AA4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.401</w:t>
            </w:r>
            <w:r w:rsidRPr="00AA32E1">
              <w:rPr>
                <w:rFonts w:ascii="Calibri" w:hAnsi="Calibri" w:cs="Calibri"/>
                <w:color w:val="000000"/>
                <w:sz w:val="24"/>
                <w:szCs w:val="24"/>
                <w:vertAlign w:val="superscript"/>
              </w:rPr>
              <w:t>**</w:t>
            </w:r>
          </w:p>
        </w:tc>
      </w:tr>
      <w:tr w:rsidR="005E263E" w:rsidRPr="00AA32E1" w14:paraId="0255632D" w14:textId="77777777" w:rsidTr="00D25C9C">
        <w:trPr>
          <w:cantSplit/>
          <w:trHeight w:val="20"/>
          <w:tblHeader/>
          <w:jc w:val="center"/>
        </w:trPr>
        <w:tc>
          <w:tcPr>
            <w:tcW w:w="126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7C76538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tcPr>
          <w:p w14:paraId="626FB75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Sig. (2-tailed)</w:t>
            </w:r>
          </w:p>
        </w:tc>
        <w:tc>
          <w:tcPr>
            <w:tcW w:w="900" w:type="dxa"/>
            <w:tcBorders>
              <w:top w:val="nil"/>
              <w:left w:val="single" w:sz="16" w:space="0" w:color="000000"/>
              <w:bottom w:val="nil"/>
            </w:tcBorders>
            <w:shd w:val="clear" w:color="auto" w:fill="FFFFFF"/>
            <w:tcMar>
              <w:top w:w="30" w:type="dxa"/>
              <w:left w:w="30" w:type="dxa"/>
              <w:bottom w:w="30" w:type="dxa"/>
              <w:right w:w="30" w:type="dxa"/>
            </w:tcMar>
          </w:tcPr>
          <w:p w14:paraId="72DA49B7"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990" w:type="dxa"/>
            <w:tcBorders>
              <w:top w:val="nil"/>
              <w:bottom w:val="nil"/>
            </w:tcBorders>
            <w:shd w:val="clear" w:color="auto" w:fill="FFFFFF"/>
            <w:tcMar>
              <w:top w:w="30" w:type="dxa"/>
              <w:left w:w="30" w:type="dxa"/>
              <w:bottom w:w="30" w:type="dxa"/>
              <w:right w:w="30" w:type="dxa"/>
            </w:tcMar>
            <w:vAlign w:val="center"/>
          </w:tcPr>
          <w:p w14:paraId="3B4AF70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c>
          <w:tcPr>
            <w:tcW w:w="1080" w:type="dxa"/>
            <w:tcBorders>
              <w:top w:val="nil"/>
              <w:bottom w:val="nil"/>
            </w:tcBorders>
            <w:shd w:val="clear" w:color="auto" w:fill="FFFFFF"/>
            <w:tcMar>
              <w:top w:w="30" w:type="dxa"/>
              <w:left w:w="30" w:type="dxa"/>
              <w:bottom w:w="30" w:type="dxa"/>
              <w:right w:w="30" w:type="dxa"/>
            </w:tcMar>
            <w:vAlign w:val="center"/>
          </w:tcPr>
          <w:p w14:paraId="45F2AF3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.001</w:t>
            </w:r>
          </w:p>
        </w:tc>
        <w:tc>
          <w:tcPr>
            <w:tcW w:w="1350" w:type="dxa"/>
            <w:tcBorders>
              <w:top w:val="nil"/>
              <w:bottom w:val="nil"/>
            </w:tcBorders>
            <w:shd w:val="clear" w:color="auto" w:fill="FFFFFF"/>
            <w:tcMar>
              <w:top w:w="30" w:type="dxa"/>
              <w:left w:w="30" w:type="dxa"/>
              <w:bottom w:w="30" w:type="dxa"/>
              <w:right w:w="30" w:type="dxa"/>
            </w:tcMar>
            <w:vAlign w:val="center"/>
          </w:tcPr>
          <w:p w14:paraId="0A38A04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.054</w:t>
            </w:r>
          </w:p>
        </w:tc>
        <w:tc>
          <w:tcPr>
            <w:tcW w:w="1292" w:type="dxa"/>
            <w:tcBorders>
              <w:top w:val="nil"/>
              <w:bottom w:val="nil"/>
              <w:right w:val="single" w:sz="16" w:space="0" w:color="000000"/>
            </w:tcBorders>
            <w:shd w:val="clear" w:color="auto" w:fill="FFFFFF"/>
            <w:tcMar>
              <w:top w:w="30" w:type="dxa"/>
              <w:left w:w="30" w:type="dxa"/>
              <w:bottom w:w="30" w:type="dxa"/>
              <w:right w:w="30" w:type="dxa"/>
            </w:tcMar>
            <w:vAlign w:val="center"/>
          </w:tcPr>
          <w:p w14:paraId="3968BE3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.001</w:t>
            </w:r>
          </w:p>
        </w:tc>
      </w:tr>
      <w:tr w:rsidR="005E263E" w:rsidRPr="00AA32E1" w14:paraId="215D3796" w14:textId="77777777" w:rsidTr="00D25C9C">
        <w:trPr>
          <w:cantSplit/>
          <w:tblHeader/>
          <w:jc w:val="center"/>
        </w:trPr>
        <w:tc>
          <w:tcPr>
            <w:tcW w:w="126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0CA751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right w:val="single" w:sz="16" w:space="0" w:color="000000"/>
            </w:tcBorders>
            <w:shd w:val="clear" w:color="auto" w:fill="FFFFFF"/>
            <w:tcMar>
              <w:top w:w="30" w:type="dxa"/>
              <w:left w:w="30" w:type="dxa"/>
              <w:bottom w:w="30" w:type="dxa"/>
              <w:right w:w="30" w:type="dxa"/>
            </w:tcMar>
          </w:tcPr>
          <w:p w14:paraId="11FBA31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N</w:t>
            </w:r>
          </w:p>
        </w:tc>
        <w:tc>
          <w:tcPr>
            <w:tcW w:w="900" w:type="dxa"/>
            <w:tcBorders>
              <w:top w:val="nil"/>
              <w:left w:val="single" w:sz="16" w:space="0" w:color="000000"/>
            </w:tcBorders>
            <w:shd w:val="clear" w:color="auto" w:fill="FFFFFF"/>
            <w:tcMar>
              <w:top w:w="30" w:type="dxa"/>
              <w:left w:w="30" w:type="dxa"/>
              <w:bottom w:w="30" w:type="dxa"/>
              <w:right w:w="30" w:type="dxa"/>
            </w:tcMar>
            <w:vAlign w:val="center"/>
          </w:tcPr>
          <w:p w14:paraId="7DAD8E9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990" w:type="dxa"/>
            <w:tcBorders>
              <w:top w:val="nil"/>
            </w:tcBorders>
            <w:shd w:val="clear" w:color="auto" w:fill="FFFFFF"/>
            <w:tcMar>
              <w:top w:w="30" w:type="dxa"/>
              <w:left w:w="30" w:type="dxa"/>
              <w:bottom w:w="30" w:type="dxa"/>
              <w:right w:w="30" w:type="dxa"/>
            </w:tcMar>
            <w:vAlign w:val="center"/>
          </w:tcPr>
          <w:p w14:paraId="0644F94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080" w:type="dxa"/>
            <w:tcBorders>
              <w:top w:val="nil"/>
            </w:tcBorders>
            <w:shd w:val="clear" w:color="auto" w:fill="FFFFFF"/>
            <w:tcMar>
              <w:top w:w="30" w:type="dxa"/>
              <w:left w:w="30" w:type="dxa"/>
              <w:bottom w:w="30" w:type="dxa"/>
              <w:right w:w="30" w:type="dxa"/>
            </w:tcMar>
            <w:vAlign w:val="center"/>
          </w:tcPr>
          <w:p w14:paraId="1F1BBCF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350" w:type="dxa"/>
            <w:tcBorders>
              <w:top w:val="nil"/>
            </w:tcBorders>
            <w:shd w:val="clear" w:color="auto" w:fill="FFFFFF"/>
            <w:tcMar>
              <w:top w:w="30" w:type="dxa"/>
              <w:left w:w="30" w:type="dxa"/>
              <w:bottom w:w="30" w:type="dxa"/>
              <w:right w:w="30" w:type="dxa"/>
            </w:tcMar>
            <w:vAlign w:val="center"/>
          </w:tcPr>
          <w:p w14:paraId="062DDF2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292" w:type="dxa"/>
            <w:tcBorders>
              <w:top w:val="nil"/>
              <w:right w:val="single" w:sz="16" w:space="0" w:color="000000"/>
            </w:tcBorders>
            <w:shd w:val="clear" w:color="auto" w:fill="FFFFFF"/>
            <w:tcMar>
              <w:top w:w="30" w:type="dxa"/>
              <w:left w:w="30" w:type="dxa"/>
              <w:bottom w:w="30" w:type="dxa"/>
              <w:right w:w="30" w:type="dxa"/>
            </w:tcMar>
            <w:vAlign w:val="center"/>
          </w:tcPr>
          <w:p w14:paraId="28D57E5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r>
      <w:tr w:rsidR="005E263E" w:rsidRPr="00AA32E1" w14:paraId="574E5B99" w14:textId="77777777" w:rsidTr="00D25C9C">
        <w:trPr>
          <w:cantSplit/>
          <w:tblHeader/>
          <w:jc w:val="center"/>
        </w:trPr>
        <w:tc>
          <w:tcPr>
            <w:tcW w:w="1260" w:type="dxa"/>
            <w:vMerge w:val="restart"/>
            <w:tcBorders>
              <w:left w:val="single" w:sz="16" w:space="0" w:color="000000"/>
              <w:right w:val="nil"/>
            </w:tcBorders>
            <w:shd w:val="clear" w:color="auto" w:fill="FFFFFF"/>
            <w:tcMar>
              <w:top w:w="30" w:type="dxa"/>
              <w:left w:w="30" w:type="dxa"/>
              <w:bottom w:w="30" w:type="dxa"/>
              <w:right w:w="30" w:type="dxa"/>
            </w:tcMar>
          </w:tcPr>
          <w:p w14:paraId="102A36C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roofErr w:type="spellStart"/>
            <w:r w:rsidRPr="00AA32E1">
              <w:rPr>
                <w:rFonts w:ascii="Calibri" w:hAnsi="Calibri" w:cs="Calibri"/>
                <w:color w:val="000000"/>
                <w:sz w:val="24"/>
                <w:szCs w:val="24"/>
              </w:rPr>
              <w:t>BGoal</w:t>
            </w:r>
            <w:proofErr w:type="spellEnd"/>
          </w:p>
        </w:tc>
        <w:tc>
          <w:tcPr>
            <w:tcW w:w="1620" w:type="dxa"/>
            <w:tcBorders>
              <w:left w:val="nil"/>
              <w:bottom w:val="nil"/>
              <w:right w:val="single" w:sz="16" w:space="0" w:color="000000"/>
            </w:tcBorders>
            <w:shd w:val="clear" w:color="auto" w:fill="FFFFFF"/>
            <w:tcMar>
              <w:top w:w="30" w:type="dxa"/>
              <w:left w:w="30" w:type="dxa"/>
              <w:bottom w:w="30" w:type="dxa"/>
              <w:right w:w="30" w:type="dxa"/>
            </w:tcMar>
          </w:tcPr>
          <w:p w14:paraId="3E836BF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Pearson Correlation</w:t>
            </w:r>
          </w:p>
        </w:tc>
        <w:tc>
          <w:tcPr>
            <w:tcW w:w="900" w:type="dxa"/>
            <w:tcBorders>
              <w:left w:val="single" w:sz="16" w:space="0" w:color="000000"/>
              <w:bottom w:val="nil"/>
            </w:tcBorders>
            <w:shd w:val="clear" w:color="auto" w:fill="FFFFFF"/>
            <w:tcMar>
              <w:top w:w="30" w:type="dxa"/>
              <w:left w:w="30" w:type="dxa"/>
              <w:bottom w:w="30" w:type="dxa"/>
              <w:right w:w="30" w:type="dxa"/>
            </w:tcMar>
            <w:vAlign w:val="center"/>
          </w:tcPr>
          <w:p w14:paraId="52D1EB7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.603</w:t>
            </w:r>
            <w:r w:rsidRPr="00AA32E1">
              <w:rPr>
                <w:rFonts w:ascii="Calibri" w:hAnsi="Calibri" w:cs="Calibri"/>
                <w:color w:val="000000"/>
                <w:sz w:val="24"/>
                <w:szCs w:val="24"/>
                <w:vertAlign w:val="superscript"/>
              </w:rPr>
              <w:t>**</w:t>
            </w:r>
          </w:p>
        </w:tc>
        <w:tc>
          <w:tcPr>
            <w:tcW w:w="990" w:type="dxa"/>
            <w:tcBorders>
              <w:bottom w:val="nil"/>
            </w:tcBorders>
            <w:shd w:val="clear" w:color="auto" w:fill="FFFFFF"/>
            <w:tcMar>
              <w:top w:w="30" w:type="dxa"/>
              <w:left w:w="30" w:type="dxa"/>
              <w:bottom w:w="30" w:type="dxa"/>
              <w:right w:w="30" w:type="dxa"/>
            </w:tcMar>
            <w:vAlign w:val="center"/>
          </w:tcPr>
          <w:p w14:paraId="5A436DC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w:t>
            </w:r>
          </w:p>
        </w:tc>
        <w:tc>
          <w:tcPr>
            <w:tcW w:w="1080" w:type="dxa"/>
            <w:tcBorders>
              <w:bottom w:val="nil"/>
            </w:tcBorders>
            <w:shd w:val="clear" w:color="auto" w:fill="FFFFFF"/>
            <w:tcMar>
              <w:top w:w="30" w:type="dxa"/>
              <w:left w:w="30" w:type="dxa"/>
              <w:bottom w:w="30" w:type="dxa"/>
              <w:right w:w="30" w:type="dxa"/>
            </w:tcMar>
            <w:vAlign w:val="center"/>
          </w:tcPr>
          <w:p w14:paraId="67D6550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.499</w:t>
            </w:r>
            <w:r w:rsidRPr="00AA32E1">
              <w:rPr>
                <w:rFonts w:ascii="Calibri" w:hAnsi="Calibri" w:cs="Calibri"/>
                <w:color w:val="000000"/>
                <w:sz w:val="24"/>
                <w:szCs w:val="24"/>
                <w:vertAlign w:val="superscript"/>
              </w:rPr>
              <w:t>**</w:t>
            </w:r>
          </w:p>
        </w:tc>
        <w:tc>
          <w:tcPr>
            <w:tcW w:w="1350" w:type="dxa"/>
            <w:tcBorders>
              <w:bottom w:val="nil"/>
            </w:tcBorders>
            <w:shd w:val="clear" w:color="auto" w:fill="FFFFFF"/>
            <w:tcMar>
              <w:top w:w="30" w:type="dxa"/>
              <w:left w:w="30" w:type="dxa"/>
              <w:bottom w:w="30" w:type="dxa"/>
              <w:right w:w="30" w:type="dxa"/>
            </w:tcMar>
            <w:vAlign w:val="center"/>
          </w:tcPr>
          <w:p w14:paraId="248A196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.233</w:t>
            </w:r>
          </w:p>
        </w:tc>
        <w:tc>
          <w:tcPr>
            <w:tcW w:w="1292" w:type="dxa"/>
            <w:tcBorders>
              <w:bottom w:val="nil"/>
              <w:right w:val="single" w:sz="16" w:space="0" w:color="000000"/>
            </w:tcBorders>
            <w:shd w:val="clear" w:color="auto" w:fill="FFFFFF"/>
            <w:tcMar>
              <w:top w:w="30" w:type="dxa"/>
              <w:left w:w="30" w:type="dxa"/>
              <w:bottom w:w="30" w:type="dxa"/>
              <w:right w:w="30" w:type="dxa"/>
            </w:tcMar>
            <w:vAlign w:val="center"/>
          </w:tcPr>
          <w:p w14:paraId="60FCA4E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.423</w:t>
            </w:r>
            <w:r w:rsidRPr="00AA32E1">
              <w:rPr>
                <w:rFonts w:ascii="Calibri" w:hAnsi="Calibri" w:cs="Calibri"/>
                <w:color w:val="000000"/>
                <w:sz w:val="24"/>
                <w:szCs w:val="24"/>
                <w:vertAlign w:val="superscript"/>
              </w:rPr>
              <w:t>**</w:t>
            </w:r>
          </w:p>
        </w:tc>
      </w:tr>
      <w:tr w:rsidR="005E263E" w:rsidRPr="00AA32E1" w14:paraId="70C9008C" w14:textId="77777777" w:rsidTr="00D25C9C">
        <w:trPr>
          <w:cantSplit/>
          <w:tblHeader/>
          <w:jc w:val="center"/>
        </w:trPr>
        <w:tc>
          <w:tcPr>
            <w:tcW w:w="1260" w:type="dxa"/>
            <w:vMerge/>
            <w:tcBorders>
              <w:left w:val="single" w:sz="16" w:space="0" w:color="000000"/>
              <w:right w:val="nil"/>
            </w:tcBorders>
            <w:shd w:val="clear" w:color="auto" w:fill="FFFFFF"/>
            <w:tcMar>
              <w:top w:w="30" w:type="dxa"/>
              <w:left w:w="30" w:type="dxa"/>
              <w:bottom w:w="30" w:type="dxa"/>
              <w:right w:w="30" w:type="dxa"/>
            </w:tcMar>
          </w:tcPr>
          <w:p w14:paraId="741CF33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tcPr>
          <w:p w14:paraId="15AA8D3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Sig. (2-tailed)</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14:paraId="4AF979D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c>
          <w:tcPr>
            <w:tcW w:w="990" w:type="dxa"/>
            <w:tcBorders>
              <w:top w:val="nil"/>
              <w:bottom w:val="nil"/>
            </w:tcBorders>
            <w:shd w:val="clear" w:color="auto" w:fill="FFFFFF"/>
            <w:tcMar>
              <w:top w:w="30" w:type="dxa"/>
              <w:left w:w="30" w:type="dxa"/>
              <w:bottom w:w="30" w:type="dxa"/>
              <w:right w:w="30" w:type="dxa"/>
            </w:tcMar>
          </w:tcPr>
          <w:p w14:paraId="5FC3D950"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080" w:type="dxa"/>
            <w:tcBorders>
              <w:top w:val="nil"/>
              <w:bottom w:val="nil"/>
            </w:tcBorders>
            <w:shd w:val="clear" w:color="auto" w:fill="FFFFFF"/>
            <w:tcMar>
              <w:top w:w="30" w:type="dxa"/>
              <w:left w:w="30" w:type="dxa"/>
              <w:bottom w:w="30" w:type="dxa"/>
              <w:right w:w="30" w:type="dxa"/>
            </w:tcMar>
            <w:vAlign w:val="center"/>
          </w:tcPr>
          <w:p w14:paraId="7774B25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c>
          <w:tcPr>
            <w:tcW w:w="1350" w:type="dxa"/>
            <w:tcBorders>
              <w:top w:val="nil"/>
              <w:bottom w:val="nil"/>
            </w:tcBorders>
            <w:shd w:val="clear" w:color="auto" w:fill="FFFFFF"/>
            <w:tcMar>
              <w:top w:w="30" w:type="dxa"/>
              <w:left w:w="30" w:type="dxa"/>
              <w:bottom w:w="30" w:type="dxa"/>
              <w:right w:w="30" w:type="dxa"/>
            </w:tcMar>
            <w:vAlign w:val="center"/>
          </w:tcPr>
          <w:p w14:paraId="52EAC37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.054</w:t>
            </w:r>
          </w:p>
        </w:tc>
        <w:tc>
          <w:tcPr>
            <w:tcW w:w="1292" w:type="dxa"/>
            <w:tcBorders>
              <w:top w:val="nil"/>
              <w:bottom w:val="nil"/>
              <w:right w:val="single" w:sz="16" w:space="0" w:color="000000"/>
            </w:tcBorders>
            <w:shd w:val="clear" w:color="auto" w:fill="FFFFFF"/>
            <w:tcMar>
              <w:top w:w="30" w:type="dxa"/>
              <w:left w:w="30" w:type="dxa"/>
              <w:bottom w:w="30" w:type="dxa"/>
              <w:right w:w="30" w:type="dxa"/>
            </w:tcMar>
            <w:vAlign w:val="center"/>
          </w:tcPr>
          <w:p w14:paraId="1359A2D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r>
      <w:tr w:rsidR="005E263E" w:rsidRPr="00AA32E1" w14:paraId="5F7FD20C" w14:textId="77777777" w:rsidTr="00D25C9C">
        <w:trPr>
          <w:cantSplit/>
          <w:tblHeader/>
          <w:jc w:val="center"/>
        </w:trPr>
        <w:tc>
          <w:tcPr>
            <w:tcW w:w="1260" w:type="dxa"/>
            <w:vMerge/>
            <w:tcBorders>
              <w:left w:val="single" w:sz="16" w:space="0" w:color="000000"/>
              <w:right w:val="nil"/>
            </w:tcBorders>
            <w:shd w:val="clear" w:color="auto" w:fill="FFFFFF"/>
            <w:tcMar>
              <w:top w:w="30" w:type="dxa"/>
              <w:left w:w="30" w:type="dxa"/>
              <w:bottom w:w="30" w:type="dxa"/>
              <w:right w:w="30" w:type="dxa"/>
            </w:tcMar>
          </w:tcPr>
          <w:p w14:paraId="6A26F10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right w:val="single" w:sz="16" w:space="0" w:color="000000"/>
            </w:tcBorders>
            <w:shd w:val="clear" w:color="auto" w:fill="FFFFFF"/>
            <w:tcMar>
              <w:top w:w="30" w:type="dxa"/>
              <w:left w:w="30" w:type="dxa"/>
              <w:bottom w:w="30" w:type="dxa"/>
              <w:right w:w="30" w:type="dxa"/>
            </w:tcMar>
          </w:tcPr>
          <w:p w14:paraId="72F937E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N</w:t>
            </w:r>
          </w:p>
        </w:tc>
        <w:tc>
          <w:tcPr>
            <w:tcW w:w="900" w:type="dxa"/>
            <w:tcBorders>
              <w:top w:val="nil"/>
              <w:left w:val="single" w:sz="16" w:space="0" w:color="000000"/>
            </w:tcBorders>
            <w:shd w:val="clear" w:color="auto" w:fill="FFFFFF"/>
            <w:tcMar>
              <w:top w:w="30" w:type="dxa"/>
              <w:left w:w="30" w:type="dxa"/>
              <w:bottom w:w="30" w:type="dxa"/>
              <w:right w:w="30" w:type="dxa"/>
            </w:tcMar>
            <w:vAlign w:val="center"/>
          </w:tcPr>
          <w:p w14:paraId="5DE1EEF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990" w:type="dxa"/>
            <w:tcBorders>
              <w:top w:val="nil"/>
            </w:tcBorders>
            <w:shd w:val="clear" w:color="auto" w:fill="FFFFFF"/>
            <w:tcMar>
              <w:top w:w="30" w:type="dxa"/>
              <w:left w:w="30" w:type="dxa"/>
              <w:bottom w:w="30" w:type="dxa"/>
              <w:right w:w="30" w:type="dxa"/>
            </w:tcMar>
            <w:vAlign w:val="center"/>
          </w:tcPr>
          <w:p w14:paraId="3F9911A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080" w:type="dxa"/>
            <w:tcBorders>
              <w:top w:val="nil"/>
            </w:tcBorders>
            <w:shd w:val="clear" w:color="auto" w:fill="FFFFFF"/>
            <w:tcMar>
              <w:top w:w="30" w:type="dxa"/>
              <w:left w:w="30" w:type="dxa"/>
              <w:bottom w:w="30" w:type="dxa"/>
              <w:right w:w="30" w:type="dxa"/>
            </w:tcMar>
            <w:vAlign w:val="center"/>
          </w:tcPr>
          <w:p w14:paraId="6E464B8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350" w:type="dxa"/>
            <w:tcBorders>
              <w:top w:val="nil"/>
            </w:tcBorders>
            <w:shd w:val="clear" w:color="auto" w:fill="FFFFFF"/>
            <w:tcMar>
              <w:top w:w="30" w:type="dxa"/>
              <w:left w:w="30" w:type="dxa"/>
              <w:bottom w:w="30" w:type="dxa"/>
              <w:right w:w="30" w:type="dxa"/>
            </w:tcMar>
            <w:vAlign w:val="center"/>
          </w:tcPr>
          <w:p w14:paraId="19CBF4B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292" w:type="dxa"/>
            <w:tcBorders>
              <w:top w:val="nil"/>
              <w:right w:val="single" w:sz="16" w:space="0" w:color="000000"/>
            </w:tcBorders>
            <w:shd w:val="clear" w:color="auto" w:fill="FFFFFF"/>
            <w:tcMar>
              <w:top w:w="30" w:type="dxa"/>
              <w:left w:w="30" w:type="dxa"/>
              <w:bottom w:w="30" w:type="dxa"/>
              <w:right w:w="30" w:type="dxa"/>
            </w:tcMar>
            <w:vAlign w:val="center"/>
          </w:tcPr>
          <w:p w14:paraId="40783B1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r>
      <w:tr w:rsidR="005E263E" w:rsidRPr="00AA32E1" w14:paraId="6C617734" w14:textId="77777777" w:rsidTr="00D25C9C">
        <w:trPr>
          <w:cantSplit/>
          <w:tblHeader/>
          <w:jc w:val="center"/>
        </w:trPr>
        <w:tc>
          <w:tcPr>
            <w:tcW w:w="1260" w:type="dxa"/>
            <w:vMerge w:val="restart"/>
            <w:tcBorders>
              <w:left w:val="single" w:sz="16" w:space="0" w:color="000000"/>
              <w:right w:val="nil"/>
            </w:tcBorders>
            <w:shd w:val="clear" w:color="auto" w:fill="FFFFFF"/>
            <w:tcMar>
              <w:top w:w="30" w:type="dxa"/>
              <w:left w:w="30" w:type="dxa"/>
              <w:bottom w:w="30" w:type="dxa"/>
              <w:right w:w="30" w:type="dxa"/>
            </w:tcMar>
          </w:tcPr>
          <w:p w14:paraId="45A9F76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roofErr w:type="spellStart"/>
            <w:r w:rsidRPr="00AA32E1">
              <w:rPr>
                <w:rFonts w:ascii="Calibri" w:hAnsi="Calibri" w:cs="Calibri"/>
                <w:color w:val="000000"/>
                <w:sz w:val="24"/>
                <w:szCs w:val="24"/>
              </w:rPr>
              <w:t>DFairness</w:t>
            </w:r>
            <w:proofErr w:type="spellEnd"/>
          </w:p>
        </w:tc>
        <w:tc>
          <w:tcPr>
            <w:tcW w:w="1620" w:type="dxa"/>
            <w:tcBorders>
              <w:left w:val="nil"/>
              <w:bottom w:val="nil"/>
              <w:right w:val="single" w:sz="16" w:space="0" w:color="000000"/>
            </w:tcBorders>
            <w:shd w:val="clear" w:color="auto" w:fill="FFFFFF"/>
            <w:tcMar>
              <w:top w:w="30" w:type="dxa"/>
              <w:left w:w="30" w:type="dxa"/>
              <w:bottom w:w="30" w:type="dxa"/>
              <w:right w:w="30" w:type="dxa"/>
            </w:tcMar>
          </w:tcPr>
          <w:p w14:paraId="248499C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Pearson Correlation</w:t>
            </w:r>
          </w:p>
        </w:tc>
        <w:tc>
          <w:tcPr>
            <w:tcW w:w="900" w:type="dxa"/>
            <w:tcBorders>
              <w:left w:val="single" w:sz="16" w:space="0" w:color="000000"/>
              <w:bottom w:val="nil"/>
            </w:tcBorders>
            <w:shd w:val="clear" w:color="auto" w:fill="FFFFFF"/>
            <w:tcMar>
              <w:top w:w="30" w:type="dxa"/>
              <w:left w:w="30" w:type="dxa"/>
              <w:bottom w:w="30" w:type="dxa"/>
              <w:right w:w="30" w:type="dxa"/>
            </w:tcMar>
            <w:vAlign w:val="center"/>
          </w:tcPr>
          <w:p w14:paraId="0E0C816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.395</w:t>
            </w:r>
            <w:r w:rsidRPr="00AA32E1">
              <w:rPr>
                <w:rFonts w:ascii="Calibri" w:hAnsi="Calibri" w:cs="Calibri"/>
                <w:color w:val="000000"/>
                <w:sz w:val="24"/>
                <w:szCs w:val="24"/>
                <w:vertAlign w:val="superscript"/>
              </w:rPr>
              <w:t>**</w:t>
            </w:r>
          </w:p>
        </w:tc>
        <w:tc>
          <w:tcPr>
            <w:tcW w:w="990" w:type="dxa"/>
            <w:tcBorders>
              <w:bottom w:val="nil"/>
            </w:tcBorders>
            <w:shd w:val="clear" w:color="auto" w:fill="FFFFFF"/>
            <w:tcMar>
              <w:top w:w="30" w:type="dxa"/>
              <w:left w:w="30" w:type="dxa"/>
              <w:bottom w:w="30" w:type="dxa"/>
              <w:right w:w="30" w:type="dxa"/>
            </w:tcMar>
            <w:vAlign w:val="center"/>
          </w:tcPr>
          <w:p w14:paraId="10CDD81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.499</w:t>
            </w:r>
            <w:r w:rsidRPr="00AA32E1">
              <w:rPr>
                <w:rFonts w:ascii="Calibri" w:hAnsi="Calibri" w:cs="Calibri"/>
                <w:color w:val="000000"/>
                <w:sz w:val="24"/>
                <w:szCs w:val="24"/>
                <w:vertAlign w:val="superscript"/>
              </w:rPr>
              <w:t>**</w:t>
            </w:r>
          </w:p>
        </w:tc>
        <w:tc>
          <w:tcPr>
            <w:tcW w:w="1080" w:type="dxa"/>
            <w:tcBorders>
              <w:bottom w:val="nil"/>
            </w:tcBorders>
            <w:shd w:val="clear" w:color="auto" w:fill="FFFFFF"/>
            <w:tcMar>
              <w:top w:w="30" w:type="dxa"/>
              <w:left w:w="30" w:type="dxa"/>
              <w:bottom w:w="30" w:type="dxa"/>
              <w:right w:w="30" w:type="dxa"/>
            </w:tcMar>
            <w:vAlign w:val="center"/>
          </w:tcPr>
          <w:p w14:paraId="43E6B0C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w:t>
            </w:r>
          </w:p>
        </w:tc>
        <w:tc>
          <w:tcPr>
            <w:tcW w:w="1350" w:type="dxa"/>
            <w:tcBorders>
              <w:bottom w:val="nil"/>
            </w:tcBorders>
            <w:shd w:val="clear" w:color="auto" w:fill="FFFFFF"/>
            <w:tcMar>
              <w:top w:w="30" w:type="dxa"/>
              <w:left w:w="30" w:type="dxa"/>
              <w:bottom w:w="30" w:type="dxa"/>
              <w:right w:w="30" w:type="dxa"/>
            </w:tcMar>
            <w:vAlign w:val="center"/>
          </w:tcPr>
          <w:p w14:paraId="0417DF3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-.039</w:t>
            </w:r>
          </w:p>
        </w:tc>
        <w:tc>
          <w:tcPr>
            <w:tcW w:w="1292" w:type="dxa"/>
            <w:tcBorders>
              <w:bottom w:val="nil"/>
              <w:right w:val="single" w:sz="16" w:space="0" w:color="000000"/>
            </w:tcBorders>
            <w:shd w:val="clear" w:color="auto" w:fill="FFFFFF"/>
            <w:tcMar>
              <w:top w:w="30" w:type="dxa"/>
              <w:left w:w="30" w:type="dxa"/>
              <w:bottom w:w="30" w:type="dxa"/>
              <w:right w:w="30" w:type="dxa"/>
            </w:tcMar>
            <w:vAlign w:val="center"/>
          </w:tcPr>
          <w:p w14:paraId="22DBFC0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.230</w:t>
            </w:r>
          </w:p>
        </w:tc>
      </w:tr>
      <w:tr w:rsidR="005E263E" w:rsidRPr="00AA32E1" w14:paraId="23F31D5D" w14:textId="77777777" w:rsidTr="00D25C9C">
        <w:trPr>
          <w:cantSplit/>
          <w:tblHeader/>
          <w:jc w:val="center"/>
        </w:trPr>
        <w:tc>
          <w:tcPr>
            <w:tcW w:w="1260" w:type="dxa"/>
            <w:vMerge/>
            <w:tcBorders>
              <w:left w:val="single" w:sz="16" w:space="0" w:color="000000"/>
              <w:right w:val="nil"/>
            </w:tcBorders>
            <w:shd w:val="clear" w:color="auto" w:fill="FFFFFF"/>
            <w:tcMar>
              <w:top w:w="30" w:type="dxa"/>
              <w:left w:w="30" w:type="dxa"/>
              <w:bottom w:w="30" w:type="dxa"/>
              <w:right w:w="30" w:type="dxa"/>
            </w:tcMar>
          </w:tcPr>
          <w:p w14:paraId="7227091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tcPr>
          <w:p w14:paraId="5E94934A" w14:textId="4E3C89A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noProof/>
                <w:color w:val="000000"/>
                <w:sz w:val="24"/>
                <w:szCs w:val="24"/>
                <w:lang w:val="en-GB" w:eastAsia="en-GB"/>
              </w:rPr>
              <mc:AlternateContent>
                <mc:Choice Requires="wps">
                  <w:drawing>
                    <wp:anchor distT="0" distB="0" distL="114300" distR="114300" simplePos="0" relativeHeight="251660288" behindDoc="0" locked="0" layoutInCell="1" allowOverlap="1" wp14:anchorId="3A2A9EE6" wp14:editId="4615D295">
                      <wp:simplePos x="0" y="0"/>
                      <wp:positionH relativeFrom="column">
                        <wp:posOffset>1009650</wp:posOffset>
                      </wp:positionH>
                      <wp:positionV relativeFrom="paragraph">
                        <wp:posOffset>205740</wp:posOffset>
                      </wp:positionV>
                      <wp:extent cx="0" cy="342900"/>
                      <wp:effectExtent l="7620" t="8255" r="1143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5A060" id="_x0000_t32" coordsize="21600,21600" o:spt="32" o:oned="t" path="m,l21600,21600e" filled="f">
                      <v:path arrowok="t" fillok="f" o:connecttype="none"/>
                      <o:lock v:ext="edit" shapetype="t"/>
                    </v:shapetype>
                    <v:shape id="Straight Arrow Connector 7" o:spid="_x0000_s1026" type="#_x0000_t32" style="position:absolute;margin-left:79.5pt;margin-top:16.2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XO0AEAAIoDAAAOAAAAZHJzL2Uyb0RvYy54bWysU8GO0zAQvSPxD5bvNGlhWTZqukJdlssC&#10;lbp8wNR2EgvbY43dpv17bDctC9wQOVi2x/PmvTeT5f3RGnZQFDS6ls9nNWfKCZTa9S3//vz45gNn&#10;IYKTYNCplp9U4Per16+Wo2/UAgc0UhFLIC40o2/5EKNvqiqIQVkIM/TKpWCHZCGmI/WVJBgTujXV&#10;oq7fVyOS9IRChZBuH85Bvir4XadE/NZ1QUVmWp64xbJSWXd5rVZLaHoCP2gx0YB/YGFBu1T0CvUA&#10;Edie9F9QVgvCgF2cCbQVdp0WqmhIaub1H2q2A3hVtCRzgr/aFP4frPh62BDTsuW3nDmwqUXbSKD7&#10;IbKPRDiyNTqXbERit9mt0YcmJa3dhrJecXRb/4TiR2AO1wO4XhXWzyefoOY5o/otJR+CTzV34xeU&#10;6Q3sIxbrjh3ZDJlMYcfSodO1Q+oYmThfinT79t3iri7Nq6C55HkK8bNCy/Km5WGSceU/L1Xg8BRi&#10;ZgXNJSEXdfiojSnTYBwbW353s7gpCQGNljmYnwXqd2tD7AB5nspXJKbIy2eEeycL2KBAfpr2EbQ5&#10;71Nx4yZnshlnW3coTxu6OJYaXlhOw5kn6uW5ZP/6hVY/AQAA//8DAFBLAwQUAAYACAAAACEAM2N0&#10;J90AAAAJAQAADwAAAGRycy9kb3ducmV2LnhtbEyPwW7CMBBE70j9B2sr9YKKQwoIQhyEKvXAsYDU&#10;6xJvk9B4HcUOCXx9TS/0OLOj2TfpZjC1uFDrKssKppMIBHFudcWFguPh43UJwnlkjbVlUnAlB5vs&#10;aZRiom3Pn3TZ+0KEEnYJKii9bxIpXV6SQTexDXG4fdvWoA+yLaRusQ/lppZxFC2kwYrDhxIbei8p&#10;/9l3RgG5bj6NtitTHHe3fvwV3859c1Dq5XnYrkF4GvwjDHf8gA5ZYDrZjrUTddDzVdjiFbzFMxD3&#10;wJ9xUrBczEBmqfy/IPsFAAD//wMAUEsBAi0AFAAGAAgAAAAhALaDOJL+AAAA4QEAABMAAAAAAAAA&#10;AAAAAAAAAAAAAFtDb250ZW50X1R5cGVzXS54bWxQSwECLQAUAAYACAAAACEAOP0h/9YAAACUAQAA&#10;CwAAAAAAAAAAAAAAAAAvAQAAX3JlbHMvLnJlbHNQSwECLQAUAAYACAAAACEAngB1ztABAACKAwAA&#10;DgAAAAAAAAAAAAAAAAAuAgAAZHJzL2Uyb0RvYy54bWxQSwECLQAUAAYACAAAACEAM2N0J90AAAAJ&#10;AQAADwAAAAAAAAAAAAAAAAAqBAAAZHJzL2Rvd25yZXYueG1sUEsFBgAAAAAEAAQA8wAAADQFAAAA&#10;AA==&#10;"/>
                  </w:pict>
                </mc:Fallback>
              </mc:AlternateContent>
            </w:r>
            <w:r w:rsidRPr="00AA32E1">
              <w:rPr>
                <w:rFonts w:ascii="Calibri" w:hAnsi="Calibri" w:cs="Calibri"/>
                <w:color w:val="000000"/>
                <w:sz w:val="24"/>
                <w:szCs w:val="24"/>
              </w:rPr>
              <w:t>Sig. (2-tailed)</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14:paraId="04E3794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.001</w:t>
            </w:r>
          </w:p>
        </w:tc>
        <w:tc>
          <w:tcPr>
            <w:tcW w:w="990" w:type="dxa"/>
            <w:tcBorders>
              <w:top w:val="nil"/>
              <w:bottom w:val="nil"/>
            </w:tcBorders>
            <w:shd w:val="clear" w:color="auto" w:fill="FFFFFF"/>
            <w:tcMar>
              <w:top w:w="30" w:type="dxa"/>
              <w:left w:w="30" w:type="dxa"/>
              <w:bottom w:w="30" w:type="dxa"/>
              <w:right w:w="30" w:type="dxa"/>
            </w:tcMar>
            <w:vAlign w:val="center"/>
          </w:tcPr>
          <w:p w14:paraId="25B0EBF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c>
          <w:tcPr>
            <w:tcW w:w="1080" w:type="dxa"/>
            <w:tcBorders>
              <w:top w:val="nil"/>
              <w:bottom w:val="nil"/>
            </w:tcBorders>
            <w:shd w:val="clear" w:color="auto" w:fill="FFFFFF"/>
            <w:tcMar>
              <w:top w:w="30" w:type="dxa"/>
              <w:left w:w="30" w:type="dxa"/>
              <w:bottom w:w="30" w:type="dxa"/>
              <w:right w:w="30" w:type="dxa"/>
            </w:tcMar>
          </w:tcPr>
          <w:p w14:paraId="0F585126"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350" w:type="dxa"/>
            <w:tcBorders>
              <w:top w:val="nil"/>
              <w:bottom w:val="nil"/>
            </w:tcBorders>
            <w:shd w:val="clear" w:color="auto" w:fill="FFFFFF"/>
            <w:tcMar>
              <w:top w:w="30" w:type="dxa"/>
              <w:left w:w="30" w:type="dxa"/>
              <w:bottom w:w="30" w:type="dxa"/>
              <w:right w:w="30" w:type="dxa"/>
            </w:tcMar>
            <w:vAlign w:val="center"/>
          </w:tcPr>
          <w:p w14:paraId="4A2DD50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.748</w:t>
            </w:r>
          </w:p>
        </w:tc>
        <w:tc>
          <w:tcPr>
            <w:tcW w:w="1292" w:type="dxa"/>
            <w:tcBorders>
              <w:top w:val="nil"/>
              <w:bottom w:val="nil"/>
              <w:right w:val="single" w:sz="16" w:space="0" w:color="000000"/>
            </w:tcBorders>
            <w:shd w:val="clear" w:color="auto" w:fill="FFFFFF"/>
            <w:tcMar>
              <w:top w:w="30" w:type="dxa"/>
              <w:left w:w="30" w:type="dxa"/>
              <w:bottom w:w="30" w:type="dxa"/>
              <w:right w:w="30" w:type="dxa"/>
            </w:tcMar>
            <w:vAlign w:val="center"/>
          </w:tcPr>
          <w:p w14:paraId="5B53410B" w14:textId="6D509B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noProof/>
                <w:color w:val="000000"/>
                <w:sz w:val="24"/>
                <w:szCs w:val="24"/>
                <w:lang w:val="en-GB" w:eastAsia="en-GB"/>
              </w:rPr>
              <mc:AlternateContent>
                <mc:Choice Requires="wps">
                  <w:drawing>
                    <wp:anchor distT="0" distB="0" distL="114300" distR="114300" simplePos="0" relativeHeight="251659264" behindDoc="0" locked="0" layoutInCell="1" allowOverlap="1" wp14:anchorId="101EB60C" wp14:editId="4E92B5AD">
                      <wp:simplePos x="0" y="0"/>
                      <wp:positionH relativeFrom="column">
                        <wp:posOffset>800100</wp:posOffset>
                      </wp:positionH>
                      <wp:positionV relativeFrom="paragraph">
                        <wp:posOffset>205740</wp:posOffset>
                      </wp:positionV>
                      <wp:extent cx="0" cy="342900"/>
                      <wp:effectExtent l="17145" t="17780" r="1143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BECE3" id="Straight Arrow Connector 6" o:spid="_x0000_s1026" type="#_x0000_t32" style="position:absolute;margin-left:63pt;margin-top:16.2pt;width:0;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v2zwEAAIsDAAAOAAAAZHJzL2Uyb0RvYy54bWysU8GO0zAQvSPxD5bvNGmBio2arlCX5bJA&#10;pS4fMLWdxML2WGO3af8e203LAjdEDpbt8Xvz5s1kdX+yhh0VBY2u5fNZzZlyAqV2fcu/Pz+++cBZ&#10;iOAkGHSq5WcV+P369avV6Bu1wAGNVMQSiQvN6Fs+xOibqgpiUBbCDL1yKdghWYjpSH0lCcbEbk21&#10;qOtlNSJJTyhUCOn24RLk68LfdUrEb10XVGSm5UlbLCuVdZ/Xar2CpifwgxaTDPgHFRa0S0lvVA8Q&#10;gR1I/0VltSAM2MWZQFth12mhSg2pmnn9RzW7AbwqtSRzgr/ZFP4frfh63BLTsuVLzhzY1KJdJND9&#10;ENlHIhzZBp1LNiKxZXZr9KFJoI3bUq5XnNzOP6H4EZjDzQCuV0X189knqnlGVL9B8iH4lHM/fkGZ&#10;3sAhYrHu1JHNlMkUdiodOt86pE6RiculSLdv3y3u6tK8CporzlOInxValjctD1MZN/3zkgWOTyFm&#10;VdBcATmpw0dtTJkG49iYpN/V7+uCCGi0zNH8LlC/3xhiR8gDVb5SY4q8fEZ4cLKwDQrkp2kfQZvL&#10;PmU3brImu3HxdY/yvKWrZanjReY0nXmkXp4L+tc/tP4JAAD//wMAUEsDBBQABgAIAAAAIQBs+yA2&#10;2wAAAAkBAAAPAAAAZHJzL2Rvd25yZXYueG1sTI/BTsMwEETvSPyDtUhcUOsQqigKcaqqEicOhMIH&#10;bOJtEhGvo9hpzN/jcoHjzI5m35T7YEZxodkNlhU8bhMQxK3VA3cKPj9eNjkI55E1jpZJwTc52Fe3&#10;NyUW2q78TpeT70QsYVeggt77qZDStT0ZdFs7Ecfb2c4GfZRzJ/WMayw3o0yTJJMGB44fepzo2FP7&#10;dVqMgvCWsQ91HpqVl1eXP9QBTa3U/V04PIPwFPxfGK74ER2qyNTYhbUTY9RpFrd4BU/pDsQ18Gs0&#10;CvJsB7Iq5f8F1Q8AAAD//wMAUEsBAi0AFAAGAAgAAAAhALaDOJL+AAAA4QEAABMAAAAAAAAAAAAA&#10;AAAAAAAAAFtDb250ZW50X1R5cGVzXS54bWxQSwECLQAUAAYACAAAACEAOP0h/9YAAACUAQAACwAA&#10;AAAAAAAAAAAAAAAvAQAAX3JlbHMvLnJlbHNQSwECLQAUAAYACAAAACEANtaL9s8BAACLAwAADgAA&#10;AAAAAAAAAAAAAAAuAgAAZHJzL2Uyb0RvYy54bWxQSwECLQAUAAYACAAAACEAbPsgNtsAAAAJAQAA&#10;DwAAAAAAAAAAAAAAAAApBAAAZHJzL2Rvd25yZXYueG1sUEsFBgAAAAAEAAQA8wAAADEFAAAAAA==&#10;" strokeweight="1.5pt"/>
                  </w:pict>
                </mc:Fallback>
              </mc:AlternateContent>
            </w:r>
            <w:r w:rsidRPr="00AA32E1">
              <w:rPr>
                <w:rFonts w:ascii="Calibri" w:hAnsi="Calibri" w:cs="Calibri"/>
                <w:color w:val="000000"/>
                <w:sz w:val="24"/>
                <w:szCs w:val="24"/>
              </w:rPr>
              <w:t>.057</w:t>
            </w:r>
          </w:p>
        </w:tc>
      </w:tr>
      <w:tr w:rsidR="005E263E" w:rsidRPr="00AA32E1" w14:paraId="4534BF98" w14:textId="77777777" w:rsidTr="00D25C9C">
        <w:trPr>
          <w:cantSplit/>
          <w:tblHeader/>
          <w:jc w:val="center"/>
        </w:trPr>
        <w:tc>
          <w:tcPr>
            <w:tcW w:w="1260" w:type="dxa"/>
            <w:vMerge/>
            <w:tcBorders>
              <w:left w:val="single" w:sz="16" w:space="0" w:color="000000"/>
              <w:right w:val="nil"/>
            </w:tcBorders>
            <w:shd w:val="clear" w:color="auto" w:fill="FFFFFF"/>
            <w:tcMar>
              <w:top w:w="30" w:type="dxa"/>
              <w:left w:w="30" w:type="dxa"/>
              <w:bottom w:w="30" w:type="dxa"/>
              <w:right w:w="30" w:type="dxa"/>
            </w:tcMar>
          </w:tcPr>
          <w:p w14:paraId="40BA2E8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bottom w:val="nil"/>
              <w:right w:val="single" w:sz="4" w:space="0" w:color="auto"/>
            </w:tcBorders>
            <w:shd w:val="clear" w:color="auto" w:fill="FFFFFF"/>
            <w:tcMar>
              <w:top w:w="30" w:type="dxa"/>
              <w:left w:w="30" w:type="dxa"/>
              <w:bottom w:w="30" w:type="dxa"/>
              <w:right w:w="30" w:type="dxa"/>
            </w:tcMar>
          </w:tcPr>
          <w:p w14:paraId="4197142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N</w:t>
            </w:r>
          </w:p>
        </w:tc>
        <w:tc>
          <w:tcPr>
            <w:tcW w:w="90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5BEC2D3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99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0E8ED6F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08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18DAA37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35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16BDFA3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292" w:type="dxa"/>
            <w:tcBorders>
              <w:top w:val="nil"/>
              <w:left w:val="single" w:sz="4" w:space="0" w:color="auto"/>
              <w:bottom w:val="nil"/>
              <w:right w:val="nil"/>
            </w:tcBorders>
            <w:shd w:val="clear" w:color="auto" w:fill="FFFFFF"/>
            <w:tcMar>
              <w:top w:w="30" w:type="dxa"/>
              <w:left w:w="30" w:type="dxa"/>
              <w:bottom w:w="30" w:type="dxa"/>
              <w:right w:w="30" w:type="dxa"/>
            </w:tcMar>
            <w:vAlign w:val="center"/>
          </w:tcPr>
          <w:p w14:paraId="11354F6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r>
      <w:tr w:rsidR="005E263E" w:rsidRPr="00AA32E1" w14:paraId="1B8E44E0" w14:textId="77777777" w:rsidTr="00D25C9C">
        <w:trPr>
          <w:cantSplit/>
          <w:tblHeader/>
          <w:jc w:val="center"/>
        </w:trPr>
        <w:tc>
          <w:tcPr>
            <w:tcW w:w="1260" w:type="dxa"/>
            <w:vMerge w:val="restart"/>
            <w:tcBorders>
              <w:left w:val="single" w:sz="16" w:space="0" w:color="000000"/>
              <w:right w:val="nil"/>
            </w:tcBorders>
            <w:shd w:val="clear" w:color="auto" w:fill="FFFFFF"/>
            <w:tcMar>
              <w:top w:w="30" w:type="dxa"/>
              <w:left w:w="30" w:type="dxa"/>
              <w:bottom w:w="30" w:type="dxa"/>
              <w:right w:w="30" w:type="dxa"/>
            </w:tcMar>
          </w:tcPr>
          <w:p w14:paraId="13A7108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Performance</w:t>
            </w:r>
          </w:p>
        </w:tc>
        <w:tc>
          <w:tcPr>
            <w:tcW w:w="1620" w:type="dxa"/>
            <w:tcBorders>
              <w:left w:val="nil"/>
              <w:bottom w:val="nil"/>
              <w:right w:val="single" w:sz="16" w:space="0" w:color="000000"/>
            </w:tcBorders>
            <w:shd w:val="clear" w:color="auto" w:fill="FFFFFF"/>
            <w:tcMar>
              <w:top w:w="30" w:type="dxa"/>
              <w:left w:w="30" w:type="dxa"/>
              <w:bottom w:w="30" w:type="dxa"/>
              <w:right w:w="30" w:type="dxa"/>
            </w:tcMar>
          </w:tcPr>
          <w:p w14:paraId="0B30AFA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Pearson Correlation</w:t>
            </w:r>
          </w:p>
        </w:tc>
        <w:tc>
          <w:tcPr>
            <w:tcW w:w="900" w:type="dxa"/>
            <w:tcBorders>
              <w:left w:val="single" w:sz="16" w:space="0" w:color="000000"/>
              <w:bottom w:val="nil"/>
            </w:tcBorders>
            <w:shd w:val="clear" w:color="auto" w:fill="FFFFFF"/>
            <w:tcMar>
              <w:top w:w="30" w:type="dxa"/>
              <w:left w:w="30" w:type="dxa"/>
              <w:bottom w:w="30" w:type="dxa"/>
              <w:right w:w="30" w:type="dxa"/>
            </w:tcMar>
            <w:vAlign w:val="center"/>
          </w:tcPr>
          <w:p w14:paraId="65CF798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.233</w:t>
            </w:r>
          </w:p>
        </w:tc>
        <w:tc>
          <w:tcPr>
            <w:tcW w:w="990" w:type="dxa"/>
            <w:tcBorders>
              <w:bottom w:val="nil"/>
            </w:tcBorders>
            <w:shd w:val="clear" w:color="auto" w:fill="FFFFFF"/>
            <w:tcMar>
              <w:top w:w="30" w:type="dxa"/>
              <w:left w:w="30" w:type="dxa"/>
              <w:bottom w:w="30" w:type="dxa"/>
              <w:right w:w="30" w:type="dxa"/>
            </w:tcMar>
            <w:vAlign w:val="center"/>
          </w:tcPr>
          <w:p w14:paraId="6375098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.233</w:t>
            </w:r>
          </w:p>
        </w:tc>
        <w:tc>
          <w:tcPr>
            <w:tcW w:w="1080" w:type="dxa"/>
            <w:tcBorders>
              <w:bottom w:val="nil"/>
            </w:tcBorders>
            <w:shd w:val="clear" w:color="auto" w:fill="FFFFFF"/>
            <w:tcMar>
              <w:top w:w="30" w:type="dxa"/>
              <w:left w:w="30" w:type="dxa"/>
              <w:bottom w:w="30" w:type="dxa"/>
              <w:right w:w="30" w:type="dxa"/>
            </w:tcMar>
            <w:vAlign w:val="center"/>
          </w:tcPr>
          <w:p w14:paraId="1BFC4F3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-.039</w:t>
            </w:r>
          </w:p>
        </w:tc>
        <w:tc>
          <w:tcPr>
            <w:tcW w:w="1350" w:type="dxa"/>
            <w:tcBorders>
              <w:bottom w:val="nil"/>
            </w:tcBorders>
            <w:shd w:val="clear" w:color="auto" w:fill="FFFFFF"/>
            <w:tcMar>
              <w:top w:w="30" w:type="dxa"/>
              <w:left w:w="30" w:type="dxa"/>
              <w:bottom w:w="30" w:type="dxa"/>
              <w:right w:w="30" w:type="dxa"/>
            </w:tcMar>
            <w:vAlign w:val="center"/>
          </w:tcPr>
          <w:p w14:paraId="39771D5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w:t>
            </w:r>
          </w:p>
        </w:tc>
        <w:tc>
          <w:tcPr>
            <w:tcW w:w="1292" w:type="dxa"/>
            <w:tcBorders>
              <w:bottom w:val="nil"/>
              <w:right w:val="single" w:sz="16" w:space="0" w:color="000000"/>
            </w:tcBorders>
            <w:shd w:val="clear" w:color="auto" w:fill="FFFFFF"/>
            <w:tcMar>
              <w:top w:w="30" w:type="dxa"/>
              <w:left w:w="30" w:type="dxa"/>
              <w:bottom w:w="30" w:type="dxa"/>
              <w:right w:w="30" w:type="dxa"/>
            </w:tcMar>
            <w:vAlign w:val="center"/>
          </w:tcPr>
          <w:p w14:paraId="29AE375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.675</w:t>
            </w:r>
            <w:r w:rsidRPr="00AA32E1">
              <w:rPr>
                <w:rFonts w:ascii="Calibri" w:hAnsi="Calibri" w:cs="Calibri"/>
                <w:color w:val="000000"/>
                <w:sz w:val="24"/>
                <w:szCs w:val="24"/>
                <w:vertAlign w:val="superscript"/>
              </w:rPr>
              <w:t>**</w:t>
            </w:r>
          </w:p>
        </w:tc>
      </w:tr>
      <w:tr w:rsidR="005E263E" w:rsidRPr="00AA32E1" w14:paraId="7015EC2F" w14:textId="77777777" w:rsidTr="00D25C9C">
        <w:trPr>
          <w:cantSplit/>
          <w:tblHeader/>
          <w:jc w:val="center"/>
        </w:trPr>
        <w:tc>
          <w:tcPr>
            <w:tcW w:w="1260" w:type="dxa"/>
            <w:vMerge/>
            <w:tcBorders>
              <w:left w:val="single" w:sz="16" w:space="0" w:color="000000"/>
              <w:right w:val="nil"/>
            </w:tcBorders>
            <w:shd w:val="clear" w:color="auto" w:fill="FFFFFF"/>
            <w:tcMar>
              <w:top w:w="30" w:type="dxa"/>
              <w:left w:w="30" w:type="dxa"/>
              <w:bottom w:w="30" w:type="dxa"/>
              <w:right w:w="30" w:type="dxa"/>
            </w:tcMar>
          </w:tcPr>
          <w:p w14:paraId="3BF4FC4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tcPr>
          <w:p w14:paraId="407FCEE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Sig. (2-tailed)</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14:paraId="0231E90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.054</w:t>
            </w:r>
          </w:p>
        </w:tc>
        <w:tc>
          <w:tcPr>
            <w:tcW w:w="990" w:type="dxa"/>
            <w:tcBorders>
              <w:top w:val="nil"/>
              <w:bottom w:val="nil"/>
            </w:tcBorders>
            <w:shd w:val="clear" w:color="auto" w:fill="FFFFFF"/>
            <w:tcMar>
              <w:top w:w="30" w:type="dxa"/>
              <w:left w:w="30" w:type="dxa"/>
              <w:bottom w:w="30" w:type="dxa"/>
              <w:right w:w="30" w:type="dxa"/>
            </w:tcMar>
            <w:vAlign w:val="center"/>
          </w:tcPr>
          <w:p w14:paraId="4FC4D12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.054</w:t>
            </w:r>
          </w:p>
        </w:tc>
        <w:tc>
          <w:tcPr>
            <w:tcW w:w="1080" w:type="dxa"/>
            <w:tcBorders>
              <w:top w:val="nil"/>
              <w:bottom w:val="nil"/>
            </w:tcBorders>
            <w:shd w:val="clear" w:color="auto" w:fill="FFFFFF"/>
            <w:tcMar>
              <w:top w:w="30" w:type="dxa"/>
              <w:left w:w="30" w:type="dxa"/>
              <w:bottom w:w="30" w:type="dxa"/>
              <w:right w:w="30" w:type="dxa"/>
            </w:tcMar>
            <w:vAlign w:val="center"/>
          </w:tcPr>
          <w:p w14:paraId="4C99E1A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.748</w:t>
            </w:r>
          </w:p>
        </w:tc>
        <w:tc>
          <w:tcPr>
            <w:tcW w:w="1350" w:type="dxa"/>
            <w:tcBorders>
              <w:top w:val="nil"/>
              <w:bottom w:val="nil"/>
            </w:tcBorders>
            <w:shd w:val="clear" w:color="auto" w:fill="FFFFFF"/>
            <w:tcMar>
              <w:top w:w="30" w:type="dxa"/>
              <w:left w:w="30" w:type="dxa"/>
              <w:bottom w:w="30" w:type="dxa"/>
              <w:right w:w="30" w:type="dxa"/>
            </w:tcMar>
          </w:tcPr>
          <w:p w14:paraId="46728B86"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292" w:type="dxa"/>
            <w:tcBorders>
              <w:top w:val="nil"/>
              <w:bottom w:val="nil"/>
              <w:right w:val="single" w:sz="16" w:space="0" w:color="000000"/>
            </w:tcBorders>
            <w:shd w:val="clear" w:color="auto" w:fill="FFFFFF"/>
            <w:tcMar>
              <w:top w:w="30" w:type="dxa"/>
              <w:left w:w="30" w:type="dxa"/>
              <w:bottom w:w="30" w:type="dxa"/>
              <w:right w:w="30" w:type="dxa"/>
            </w:tcMar>
            <w:vAlign w:val="center"/>
          </w:tcPr>
          <w:p w14:paraId="335F74F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r>
      <w:tr w:rsidR="005E263E" w:rsidRPr="00AA32E1" w14:paraId="438129E3" w14:textId="77777777" w:rsidTr="00D25C9C">
        <w:trPr>
          <w:cantSplit/>
          <w:tblHeader/>
          <w:jc w:val="center"/>
        </w:trPr>
        <w:tc>
          <w:tcPr>
            <w:tcW w:w="1260" w:type="dxa"/>
            <w:vMerge/>
            <w:tcBorders>
              <w:left w:val="single" w:sz="16" w:space="0" w:color="000000"/>
              <w:right w:val="nil"/>
            </w:tcBorders>
            <w:shd w:val="clear" w:color="auto" w:fill="FFFFFF"/>
            <w:tcMar>
              <w:top w:w="30" w:type="dxa"/>
              <w:left w:w="30" w:type="dxa"/>
              <w:bottom w:w="30" w:type="dxa"/>
              <w:right w:w="30" w:type="dxa"/>
            </w:tcMar>
          </w:tcPr>
          <w:p w14:paraId="1412AE7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right w:val="single" w:sz="16" w:space="0" w:color="000000"/>
            </w:tcBorders>
            <w:shd w:val="clear" w:color="auto" w:fill="FFFFFF"/>
            <w:tcMar>
              <w:top w:w="30" w:type="dxa"/>
              <w:left w:w="30" w:type="dxa"/>
              <w:bottom w:w="30" w:type="dxa"/>
              <w:right w:w="30" w:type="dxa"/>
            </w:tcMar>
          </w:tcPr>
          <w:p w14:paraId="2BBC4B4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N</w:t>
            </w:r>
          </w:p>
        </w:tc>
        <w:tc>
          <w:tcPr>
            <w:tcW w:w="900" w:type="dxa"/>
            <w:tcBorders>
              <w:top w:val="nil"/>
              <w:left w:val="single" w:sz="16" w:space="0" w:color="000000"/>
            </w:tcBorders>
            <w:shd w:val="clear" w:color="auto" w:fill="FFFFFF"/>
            <w:tcMar>
              <w:top w:w="30" w:type="dxa"/>
              <w:left w:w="30" w:type="dxa"/>
              <w:bottom w:w="30" w:type="dxa"/>
              <w:right w:w="30" w:type="dxa"/>
            </w:tcMar>
            <w:vAlign w:val="center"/>
          </w:tcPr>
          <w:p w14:paraId="71A084C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990" w:type="dxa"/>
            <w:tcBorders>
              <w:top w:val="nil"/>
            </w:tcBorders>
            <w:shd w:val="clear" w:color="auto" w:fill="FFFFFF"/>
            <w:tcMar>
              <w:top w:w="30" w:type="dxa"/>
              <w:left w:w="30" w:type="dxa"/>
              <w:bottom w:w="30" w:type="dxa"/>
              <w:right w:w="30" w:type="dxa"/>
            </w:tcMar>
            <w:vAlign w:val="center"/>
          </w:tcPr>
          <w:p w14:paraId="3613E4D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080" w:type="dxa"/>
            <w:tcBorders>
              <w:top w:val="nil"/>
            </w:tcBorders>
            <w:shd w:val="clear" w:color="auto" w:fill="FFFFFF"/>
            <w:tcMar>
              <w:top w:w="30" w:type="dxa"/>
              <w:left w:w="30" w:type="dxa"/>
              <w:bottom w:w="30" w:type="dxa"/>
              <w:right w:w="30" w:type="dxa"/>
            </w:tcMar>
            <w:vAlign w:val="center"/>
          </w:tcPr>
          <w:p w14:paraId="3440199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350" w:type="dxa"/>
            <w:tcBorders>
              <w:top w:val="nil"/>
            </w:tcBorders>
            <w:shd w:val="clear" w:color="auto" w:fill="FFFFFF"/>
            <w:tcMar>
              <w:top w:w="30" w:type="dxa"/>
              <w:left w:w="30" w:type="dxa"/>
              <w:bottom w:w="30" w:type="dxa"/>
              <w:right w:w="30" w:type="dxa"/>
            </w:tcMar>
            <w:vAlign w:val="center"/>
          </w:tcPr>
          <w:p w14:paraId="1A22F39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292" w:type="dxa"/>
            <w:tcBorders>
              <w:top w:val="nil"/>
              <w:right w:val="single" w:sz="16" w:space="0" w:color="000000"/>
            </w:tcBorders>
            <w:shd w:val="clear" w:color="auto" w:fill="FFFFFF"/>
            <w:tcMar>
              <w:top w:w="30" w:type="dxa"/>
              <w:left w:w="30" w:type="dxa"/>
              <w:bottom w:w="30" w:type="dxa"/>
              <w:right w:w="30" w:type="dxa"/>
            </w:tcMar>
            <w:vAlign w:val="center"/>
          </w:tcPr>
          <w:p w14:paraId="49E724F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r>
      <w:tr w:rsidR="005E263E" w:rsidRPr="00AA32E1" w14:paraId="1144A609" w14:textId="77777777" w:rsidTr="00D25C9C">
        <w:trPr>
          <w:cantSplit/>
          <w:tblHeader/>
          <w:jc w:val="center"/>
        </w:trPr>
        <w:tc>
          <w:tcPr>
            <w:tcW w:w="126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D30B85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Commitment</w:t>
            </w:r>
          </w:p>
        </w:tc>
        <w:tc>
          <w:tcPr>
            <w:tcW w:w="1620" w:type="dxa"/>
            <w:tcBorders>
              <w:left w:val="nil"/>
              <w:bottom w:val="nil"/>
              <w:right w:val="single" w:sz="16" w:space="0" w:color="000000"/>
            </w:tcBorders>
            <w:shd w:val="clear" w:color="auto" w:fill="FFFFFF"/>
            <w:tcMar>
              <w:top w:w="30" w:type="dxa"/>
              <w:left w:w="30" w:type="dxa"/>
              <w:bottom w:w="30" w:type="dxa"/>
              <w:right w:w="30" w:type="dxa"/>
            </w:tcMar>
          </w:tcPr>
          <w:p w14:paraId="611DABE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Pearson Correlation</w:t>
            </w:r>
          </w:p>
        </w:tc>
        <w:tc>
          <w:tcPr>
            <w:tcW w:w="900" w:type="dxa"/>
            <w:tcBorders>
              <w:left w:val="single" w:sz="16" w:space="0" w:color="000000"/>
              <w:bottom w:val="nil"/>
            </w:tcBorders>
            <w:shd w:val="clear" w:color="auto" w:fill="FFFFFF"/>
            <w:tcMar>
              <w:top w:w="30" w:type="dxa"/>
              <w:left w:w="30" w:type="dxa"/>
              <w:bottom w:w="30" w:type="dxa"/>
              <w:right w:w="30" w:type="dxa"/>
            </w:tcMar>
            <w:vAlign w:val="center"/>
          </w:tcPr>
          <w:p w14:paraId="4A58171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.401</w:t>
            </w:r>
            <w:r w:rsidRPr="00AA32E1">
              <w:rPr>
                <w:rFonts w:ascii="Calibri" w:hAnsi="Calibri" w:cs="Calibri"/>
                <w:color w:val="000000"/>
                <w:sz w:val="24"/>
                <w:szCs w:val="24"/>
                <w:vertAlign w:val="superscript"/>
              </w:rPr>
              <w:t>**</w:t>
            </w:r>
          </w:p>
        </w:tc>
        <w:tc>
          <w:tcPr>
            <w:tcW w:w="990" w:type="dxa"/>
            <w:tcBorders>
              <w:bottom w:val="nil"/>
            </w:tcBorders>
            <w:shd w:val="clear" w:color="auto" w:fill="FFFFFF"/>
            <w:tcMar>
              <w:top w:w="30" w:type="dxa"/>
              <w:left w:w="30" w:type="dxa"/>
              <w:bottom w:w="30" w:type="dxa"/>
              <w:right w:w="30" w:type="dxa"/>
            </w:tcMar>
            <w:vAlign w:val="center"/>
          </w:tcPr>
          <w:p w14:paraId="307A3E8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.423</w:t>
            </w:r>
            <w:r w:rsidRPr="00AA32E1">
              <w:rPr>
                <w:rFonts w:ascii="Calibri" w:hAnsi="Calibri" w:cs="Calibri"/>
                <w:color w:val="000000"/>
                <w:sz w:val="24"/>
                <w:szCs w:val="24"/>
                <w:vertAlign w:val="superscript"/>
              </w:rPr>
              <w:t>**</w:t>
            </w:r>
          </w:p>
        </w:tc>
        <w:tc>
          <w:tcPr>
            <w:tcW w:w="1080" w:type="dxa"/>
            <w:tcBorders>
              <w:bottom w:val="nil"/>
            </w:tcBorders>
            <w:shd w:val="clear" w:color="auto" w:fill="FFFFFF"/>
            <w:tcMar>
              <w:top w:w="30" w:type="dxa"/>
              <w:left w:w="30" w:type="dxa"/>
              <w:bottom w:w="30" w:type="dxa"/>
              <w:right w:w="30" w:type="dxa"/>
            </w:tcMar>
            <w:vAlign w:val="center"/>
          </w:tcPr>
          <w:p w14:paraId="5CBD4F8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.230</w:t>
            </w:r>
          </w:p>
        </w:tc>
        <w:tc>
          <w:tcPr>
            <w:tcW w:w="1350" w:type="dxa"/>
            <w:tcBorders>
              <w:bottom w:val="nil"/>
            </w:tcBorders>
            <w:shd w:val="clear" w:color="auto" w:fill="FFFFFF"/>
            <w:tcMar>
              <w:top w:w="30" w:type="dxa"/>
              <w:left w:w="30" w:type="dxa"/>
              <w:bottom w:w="30" w:type="dxa"/>
              <w:right w:w="30" w:type="dxa"/>
            </w:tcMar>
            <w:vAlign w:val="center"/>
          </w:tcPr>
          <w:p w14:paraId="659FE3E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.675</w:t>
            </w:r>
            <w:r w:rsidRPr="00AA32E1">
              <w:rPr>
                <w:rFonts w:ascii="Calibri" w:hAnsi="Calibri" w:cs="Calibri"/>
                <w:color w:val="000000"/>
                <w:sz w:val="24"/>
                <w:szCs w:val="24"/>
                <w:vertAlign w:val="superscript"/>
              </w:rPr>
              <w:t>**</w:t>
            </w:r>
          </w:p>
        </w:tc>
        <w:tc>
          <w:tcPr>
            <w:tcW w:w="1292" w:type="dxa"/>
            <w:tcBorders>
              <w:bottom w:val="nil"/>
              <w:right w:val="single" w:sz="16" w:space="0" w:color="000000"/>
            </w:tcBorders>
            <w:shd w:val="clear" w:color="auto" w:fill="FFFFFF"/>
            <w:tcMar>
              <w:top w:w="30" w:type="dxa"/>
              <w:left w:w="30" w:type="dxa"/>
              <w:bottom w:w="30" w:type="dxa"/>
              <w:right w:w="30" w:type="dxa"/>
            </w:tcMar>
            <w:vAlign w:val="center"/>
          </w:tcPr>
          <w:p w14:paraId="41F5E45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w:t>
            </w:r>
          </w:p>
        </w:tc>
      </w:tr>
      <w:tr w:rsidR="005E263E" w:rsidRPr="00AA32E1" w14:paraId="6E25CED7" w14:textId="77777777" w:rsidTr="00D25C9C">
        <w:trPr>
          <w:cantSplit/>
          <w:tblHeader/>
          <w:jc w:val="center"/>
        </w:trPr>
        <w:tc>
          <w:tcPr>
            <w:tcW w:w="126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1A25A0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tcPr>
          <w:p w14:paraId="1C63645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Sig. (2-tailed)</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14:paraId="2C0DACE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.001</w:t>
            </w:r>
          </w:p>
        </w:tc>
        <w:tc>
          <w:tcPr>
            <w:tcW w:w="990" w:type="dxa"/>
            <w:tcBorders>
              <w:top w:val="nil"/>
              <w:bottom w:val="nil"/>
            </w:tcBorders>
            <w:shd w:val="clear" w:color="auto" w:fill="FFFFFF"/>
            <w:tcMar>
              <w:top w:w="30" w:type="dxa"/>
              <w:left w:w="30" w:type="dxa"/>
              <w:bottom w:w="30" w:type="dxa"/>
              <w:right w:w="30" w:type="dxa"/>
            </w:tcMar>
            <w:vAlign w:val="center"/>
          </w:tcPr>
          <w:p w14:paraId="23B0174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c>
          <w:tcPr>
            <w:tcW w:w="1080" w:type="dxa"/>
            <w:tcBorders>
              <w:top w:val="nil"/>
              <w:bottom w:val="nil"/>
            </w:tcBorders>
            <w:shd w:val="clear" w:color="auto" w:fill="FFFFFF"/>
            <w:tcMar>
              <w:top w:w="30" w:type="dxa"/>
              <w:left w:w="30" w:type="dxa"/>
              <w:bottom w:w="30" w:type="dxa"/>
              <w:right w:w="30" w:type="dxa"/>
            </w:tcMar>
            <w:vAlign w:val="center"/>
          </w:tcPr>
          <w:p w14:paraId="357AD3F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.057</w:t>
            </w:r>
          </w:p>
        </w:tc>
        <w:tc>
          <w:tcPr>
            <w:tcW w:w="1350" w:type="dxa"/>
            <w:tcBorders>
              <w:top w:val="nil"/>
              <w:bottom w:val="nil"/>
            </w:tcBorders>
            <w:shd w:val="clear" w:color="auto" w:fill="FFFFFF"/>
            <w:tcMar>
              <w:top w:w="30" w:type="dxa"/>
              <w:left w:w="30" w:type="dxa"/>
              <w:bottom w:w="30" w:type="dxa"/>
              <w:right w:w="30" w:type="dxa"/>
            </w:tcMar>
            <w:vAlign w:val="center"/>
          </w:tcPr>
          <w:p w14:paraId="44219EC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w:t>
            </w:r>
          </w:p>
        </w:tc>
        <w:tc>
          <w:tcPr>
            <w:tcW w:w="1292" w:type="dxa"/>
            <w:tcBorders>
              <w:top w:val="nil"/>
              <w:bottom w:val="nil"/>
              <w:right w:val="single" w:sz="16" w:space="0" w:color="000000"/>
            </w:tcBorders>
            <w:shd w:val="clear" w:color="auto" w:fill="FFFFFF"/>
            <w:tcMar>
              <w:top w:w="30" w:type="dxa"/>
              <w:left w:w="30" w:type="dxa"/>
              <w:bottom w:w="30" w:type="dxa"/>
              <w:right w:w="30" w:type="dxa"/>
            </w:tcMar>
          </w:tcPr>
          <w:p w14:paraId="58D4935A"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r>
      <w:tr w:rsidR="005E263E" w:rsidRPr="00AA32E1" w14:paraId="5AC88A48" w14:textId="77777777" w:rsidTr="00D25C9C">
        <w:trPr>
          <w:cantSplit/>
          <w:tblHeader/>
          <w:jc w:val="center"/>
        </w:trPr>
        <w:tc>
          <w:tcPr>
            <w:tcW w:w="126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B7D0491"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6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6250F4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N</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6C735F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14:paraId="736EEAA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14:paraId="012DB86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14:paraId="520915D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c>
          <w:tcPr>
            <w:tcW w:w="129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1970C8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w:t>
            </w:r>
          </w:p>
        </w:tc>
      </w:tr>
      <w:tr w:rsidR="005E263E" w:rsidRPr="00AA32E1" w14:paraId="16D90784" w14:textId="77777777" w:rsidTr="00D25C9C">
        <w:trPr>
          <w:cantSplit/>
          <w:jc w:val="center"/>
        </w:trPr>
        <w:tc>
          <w:tcPr>
            <w:tcW w:w="4770" w:type="dxa"/>
            <w:gridSpan w:val="4"/>
            <w:tcBorders>
              <w:top w:val="nil"/>
              <w:left w:val="nil"/>
              <w:bottom w:val="nil"/>
              <w:right w:val="nil"/>
            </w:tcBorders>
            <w:shd w:val="clear" w:color="auto" w:fill="FFFFFF"/>
            <w:tcMar>
              <w:top w:w="30" w:type="dxa"/>
              <w:left w:w="30" w:type="dxa"/>
              <w:bottom w:w="30" w:type="dxa"/>
              <w:right w:w="30" w:type="dxa"/>
            </w:tcMar>
          </w:tcPr>
          <w:p w14:paraId="5A6DD3E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 Correlation is significant at the 0.01 level (2tailed).</w:t>
            </w:r>
          </w:p>
        </w:tc>
        <w:tc>
          <w:tcPr>
            <w:tcW w:w="1080" w:type="dxa"/>
            <w:tcBorders>
              <w:top w:val="nil"/>
              <w:left w:val="nil"/>
              <w:bottom w:val="nil"/>
              <w:right w:val="nil"/>
            </w:tcBorders>
            <w:shd w:val="clear" w:color="auto" w:fill="FFFFFF"/>
            <w:tcMar>
              <w:top w:w="30" w:type="dxa"/>
              <w:left w:w="30" w:type="dxa"/>
              <w:bottom w:w="30" w:type="dxa"/>
              <w:right w:w="30" w:type="dxa"/>
            </w:tcMar>
          </w:tcPr>
          <w:p w14:paraId="42684141"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350" w:type="dxa"/>
            <w:tcBorders>
              <w:top w:val="nil"/>
              <w:left w:val="nil"/>
              <w:bottom w:val="nil"/>
              <w:right w:val="nil"/>
            </w:tcBorders>
            <w:shd w:val="clear" w:color="auto" w:fill="FFFFFF"/>
            <w:tcMar>
              <w:top w:w="30" w:type="dxa"/>
              <w:left w:w="30" w:type="dxa"/>
              <w:bottom w:w="30" w:type="dxa"/>
              <w:right w:w="30" w:type="dxa"/>
            </w:tcMar>
          </w:tcPr>
          <w:p w14:paraId="349C34C1"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292" w:type="dxa"/>
            <w:tcBorders>
              <w:top w:val="nil"/>
              <w:left w:val="nil"/>
              <w:bottom w:val="nil"/>
              <w:right w:val="nil"/>
            </w:tcBorders>
            <w:shd w:val="clear" w:color="auto" w:fill="FFFFFF"/>
            <w:tcMar>
              <w:top w:w="30" w:type="dxa"/>
              <w:left w:w="30" w:type="dxa"/>
              <w:bottom w:w="30" w:type="dxa"/>
              <w:right w:w="30" w:type="dxa"/>
            </w:tcMar>
          </w:tcPr>
          <w:p w14:paraId="67A0974B"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r>
    </w:tbl>
    <w:p w14:paraId="1F0222AE" w14:textId="77777777" w:rsidR="005E263E" w:rsidRPr="00AA32E1" w:rsidRDefault="005E263E" w:rsidP="005E263E">
      <w:pPr>
        <w:pStyle w:val="NoSpacing"/>
        <w:jc w:val="both"/>
        <w:rPr>
          <w:rFonts w:cs="Calibri"/>
          <w:b/>
          <w:sz w:val="24"/>
          <w:szCs w:val="24"/>
        </w:rPr>
      </w:pPr>
    </w:p>
    <w:p w14:paraId="2FF92AE1" w14:textId="77777777" w:rsidR="005E263E" w:rsidRPr="00AA32E1" w:rsidRDefault="005E263E" w:rsidP="005E263E">
      <w:pPr>
        <w:pStyle w:val="Default"/>
        <w:keepNext/>
        <w:ind w:firstLine="567"/>
        <w:jc w:val="both"/>
        <w:rPr>
          <w:rFonts w:ascii="Calibri" w:hAnsi="Calibri" w:cs="Calibri"/>
        </w:rPr>
      </w:pPr>
      <w:r w:rsidRPr="00AA32E1">
        <w:rPr>
          <w:rFonts w:ascii="Calibri" w:hAnsi="Calibri" w:cs="Calibri"/>
        </w:rPr>
        <w:t xml:space="preserve">From the correlation table above, there is a significant positive correlation between budget participation and budget goal clarity, distribution fairness and employees’ commitment to corporate goal but a positive insignificant relationship between budget participation and employee performance. This shows that as employees get more involved in the budgeting process, budget goal become clearer to them and appreciate more the fairness of the revenue distribution and procedures but as to whether the employee will help achieve </w:t>
      </w:r>
      <w:r w:rsidRPr="00AA32E1">
        <w:rPr>
          <w:rFonts w:ascii="Calibri" w:hAnsi="Calibri" w:cs="Calibri"/>
        </w:rPr>
        <w:lastRenderedPageBreak/>
        <w:t xml:space="preserve">the budget goal depends on several factors which one cannot rule out attitude and selfless. There is also a significant positive correlation between budget goal clarity on one hand and distribution fairness as well as employees’ commitment to corporate goal on the other hand. </w:t>
      </w:r>
      <w:proofErr w:type="gramStart"/>
      <w:r w:rsidRPr="00AA32E1">
        <w:rPr>
          <w:rFonts w:ascii="Calibri" w:hAnsi="Calibri" w:cs="Calibri"/>
        </w:rPr>
        <w:t>However</w:t>
      </w:r>
      <w:proofErr w:type="gramEnd"/>
      <w:r w:rsidRPr="00AA32E1">
        <w:rPr>
          <w:rFonts w:ascii="Calibri" w:hAnsi="Calibri" w:cs="Calibri"/>
        </w:rPr>
        <w:t xml:space="preserve"> there is an insignificant positive relationship between budget goal clarity and employee performance. </w:t>
      </w:r>
      <w:proofErr w:type="gramStart"/>
      <w:r w:rsidRPr="00AA32E1">
        <w:rPr>
          <w:rFonts w:ascii="Calibri" w:hAnsi="Calibri" w:cs="Calibri"/>
        </w:rPr>
        <w:t>Also</w:t>
      </w:r>
      <w:proofErr w:type="gramEnd"/>
      <w:r w:rsidRPr="00AA32E1">
        <w:rPr>
          <w:rFonts w:ascii="Calibri" w:hAnsi="Calibri" w:cs="Calibri"/>
        </w:rPr>
        <w:t xml:space="preserve"> clarity of budget goals is associated with more commitment to corporate goals and performance. The relationship between perception of revenue distribution fairness and commitment to corporate goal is positive but not significant. There is however a negative relationship between perception of revenue distribution fairness and employee performance.  </w:t>
      </w:r>
    </w:p>
    <w:p w14:paraId="04EEC006" w14:textId="77777777" w:rsidR="005E263E" w:rsidRPr="00AA32E1" w:rsidRDefault="005E263E" w:rsidP="005E263E">
      <w:pPr>
        <w:keepNext/>
        <w:spacing w:after="0" w:line="240" w:lineRule="auto"/>
        <w:ind w:firstLine="567"/>
        <w:jc w:val="both"/>
        <w:rPr>
          <w:rFonts w:ascii="Calibri" w:hAnsi="Calibri" w:cs="Calibri"/>
          <w:sz w:val="24"/>
          <w:szCs w:val="24"/>
        </w:rPr>
      </w:pPr>
    </w:p>
    <w:p w14:paraId="56496831" w14:textId="6EC6C3ED" w:rsidR="005E263E" w:rsidRPr="00AA32E1" w:rsidRDefault="005E263E" w:rsidP="000905AA">
      <w:pPr>
        <w:keepNext/>
        <w:tabs>
          <w:tab w:val="left" w:pos="851"/>
          <w:tab w:val="left" w:pos="993"/>
        </w:tabs>
        <w:spacing w:after="0" w:line="240" w:lineRule="auto"/>
        <w:jc w:val="both"/>
        <w:rPr>
          <w:rFonts w:ascii="Calibri" w:hAnsi="Calibri" w:cs="Calibri"/>
          <w:b/>
          <w:i/>
          <w:sz w:val="24"/>
          <w:szCs w:val="24"/>
        </w:rPr>
      </w:pPr>
      <w:r w:rsidRPr="00AA32E1">
        <w:rPr>
          <w:rFonts w:ascii="Calibri" w:hAnsi="Calibri" w:cs="Calibri"/>
          <w:b/>
          <w:i/>
          <w:sz w:val="24"/>
          <w:szCs w:val="24"/>
        </w:rPr>
        <w:t xml:space="preserve">Regression </w:t>
      </w:r>
      <w:r w:rsidR="000905AA" w:rsidRPr="00AA32E1">
        <w:rPr>
          <w:rFonts w:ascii="Calibri" w:hAnsi="Calibri" w:cs="Calibri"/>
          <w:b/>
          <w:i/>
          <w:sz w:val="24"/>
          <w:szCs w:val="24"/>
        </w:rPr>
        <w:t>Results</w:t>
      </w:r>
    </w:p>
    <w:p w14:paraId="592EFA9D"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sz w:val="24"/>
          <w:szCs w:val="24"/>
        </w:rPr>
        <w:t xml:space="preserve">The results in Table 7 below </w:t>
      </w:r>
      <w:r w:rsidRPr="00AA32E1">
        <w:rPr>
          <w:rFonts w:ascii="Calibri" w:hAnsi="Calibri" w:cs="Calibri"/>
          <w:bCs/>
          <w:sz w:val="24"/>
          <w:szCs w:val="24"/>
        </w:rPr>
        <w:t>were</w:t>
      </w:r>
      <w:r w:rsidRPr="00AA32E1">
        <w:rPr>
          <w:rFonts w:ascii="Calibri" w:hAnsi="Calibri" w:cs="Calibri"/>
          <w:b/>
          <w:bCs/>
          <w:sz w:val="24"/>
          <w:szCs w:val="24"/>
        </w:rPr>
        <w:t xml:space="preserve"> </w:t>
      </w:r>
      <w:r w:rsidRPr="00AA32E1">
        <w:rPr>
          <w:rFonts w:ascii="Calibri" w:hAnsi="Calibri" w:cs="Calibri"/>
          <w:sz w:val="24"/>
          <w:szCs w:val="24"/>
        </w:rPr>
        <w:t>generated using the SPSS software program in order to explore the statistically significant predictor of employee performance and commitment to corporate goal.</w:t>
      </w:r>
    </w:p>
    <w:p w14:paraId="7A513891" w14:textId="77777777" w:rsidR="005E263E" w:rsidRPr="00AA32E1" w:rsidRDefault="005E263E" w:rsidP="005E263E">
      <w:pPr>
        <w:keepNext/>
        <w:spacing w:after="0" w:line="240" w:lineRule="auto"/>
        <w:ind w:firstLine="567"/>
        <w:jc w:val="both"/>
        <w:rPr>
          <w:rFonts w:ascii="Calibri" w:hAnsi="Calibri" w:cs="Calibri"/>
          <w:sz w:val="24"/>
          <w:szCs w:val="24"/>
        </w:rPr>
      </w:pPr>
    </w:p>
    <w:p w14:paraId="2B382EAF" w14:textId="77777777" w:rsidR="000905AA" w:rsidRPr="000905AA" w:rsidRDefault="005E263E" w:rsidP="005E263E">
      <w:pPr>
        <w:keepNext/>
        <w:autoSpaceDE w:val="0"/>
        <w:autoSpaceDN w:val="0"/>
        <w:adjustRightInd w:val="0"/>
        <w:spacing w:after="0" w:line="240" w:lineRule="auto"/>
        <w:jc w:val="both"/>
        <w:rPr>
          <w:rFonts w:ascii="Calibri" w:hAnsi="Calibri" w:cs="Calibri"/>
          <w:iCs/>
          <w:sz w:val="24"/>
          <w:szCs w:val="24"/>
        </w:rPr>
      </w:pPr>
      <w:r w:rsidRPr="000905AA">
        <w:rPr>
          <w:rFonts w:ascii="Calibri" w:hAnsi="Calibri" w:cs="Calibri"/>
          <w:iCs/>
          <w:sz w:val="24"/>
          <w:szCs w:val="24"/>
        </w:rPr>
        <w:t>Table 7</w:t>
      </w:r>
    </w:p>
    <w:p w14:paraId="18F40339" w14:textId="2563A932" w:rsidR="005E263E" w:rsidRPr="000905AA" w:rsidRDefault="005E263E" w:rsidP="005E263E">
      <w:pPr>
        <w:keepNext/>
        <w:autoSpaceDE w:val="0"/>
        <w:autoSpaceDN w:val="0"/>
        <w:adjustRightInd w:val="0"/>
        <w:spacing w:after="0" w:line="240" w:lineRule="auto"/>
        <w:jc w:val="both"/>
        <w:rPr>
          <w:rFonts w:ascii="Calibri" w:hAnsi="Calibri" w:cs="Calibri"/>
          <w:i/>
          <w:iCs/>
          <w:sz w:val="24"/>
          <w:szCs w:val="24"/>
        </w:rPr>
      </w:pPr>
      <w:r w:rsidRPr="000905AA">
        <w:rPr>
          <w:rFonts w:ascii="Calibri" w:hAnsi="Calibri" w:cs="Calibri"/>
          <w:i/>
          <w:iCs/>
          <w:sz w:val="24"/>
          <w:szCs w:val="24"/>
        </w:rPr>
        <w:t>Regression results (Employee performance)</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90"/>
        <w:gridCol w:w="1985"/>
        <w:gridCol w:w="1134"/>
        <w:gridCol w:w="1275"/>
        <w:gridCol w:w="2146"/>
        <w:gridCol w:w="810"/>
        <w:gridCol w:w="1260"/>
      </w:tblGrid>
      <w:tr w:rsidR="005E263E" w:rsidRPr="00AA32E1" w14:paraId="35190BAD" w14:textId="77777777" w:rsidTr="00D25C9C">
        <w:trPr>
          <w:cantSplit/>
          <w:tblHeader/>
          <w:jc w:val="center"/>
        </w:trPr>
        <w:tc>
          <w:tcPr>
            <w:tcW w:w="9000" w:type="dxa"/>
            <w:gridSpan w:val="7"/>
            <w:tcBorders>
              <w:top w:val="single" w:sz="18" w:space="0" w:color="auto"/>
              <w:left w:val="single" w:sz="18" w:space="0" w:color="auto"/>
              <w:bottom w:val="single" w:sz="18" w:space="0" w:color="auto"/>
              <w:right w:val="single" w:sz="18" w:space="0" w:color="auto"/>
            </w:tcBorders>
            <w:shd w:val="clear" w:color="auto" w:fill="FFFFFF"/>
            <w:tcMar>
              <w:top w:w="30" w:type="dxa"/>
              <w:left w:w="30" w:type="dxa"/>
              <w:bottom w:w="30" w:type="dxa"/>
              <w:right w:w="30" w:type="dxa"/>
            </w:tcMar>
            <w:vAlign w:val="center"/>
          </w:tcPr>
          <w:p w14:paraId="12CFC921" w14:textId="77777777" w:rsidR="005E263E" w:rsidRPr="00AA32E1" w:rsidRDefault="005E263E" w:rsidP="00D25C9C">
            <w:pPr>
              <w:keepNext/>
              <w:autoSpaceDE w:val="0"/>
              <w:autoSpaceDN w:val="0"/>
              <w:adjustRightInd w:val="0"/>
              <w:spacing w:after="0" w:line="240" w:lineRule="auto"/>
              <w:jc w:val="both"/>
              <w:rPr>
                <w:rFonts w:ascii="Calibri" w:hAnsi="Calibri" w:cs="Calibri"/>
                <w:b/>
                <w:bCs/>
                <w:color w:val="000000"/>
                <w:sz w:val="24"/>
                <w:szCs w:val="24"/>
              </w:rPr>
            </w:pPr>
            <w:r w:rsidRPr="00AA32E1">
              <w:rPr>
                <w:rFonts w:ascii="Calibri" w:hAnsi="Calibri" w:cs="Calibri"/>
                <w:b/>
                <w:bCs/>
                <w:color w:val="000000"/>
                <w:sz w:val="24"/>
                <w:szCs w:val="24"/>
              </w:rPr>
              <w:t>R Square=0.497                                                                                         F=12.462</w:t>
            </w:r>
          </w:p>
          <w:p w14:paraId="4863BB6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Adjusted R Square=0.457                                                                          Sig= .000</w:t>
            </w:r>
          </w:p>
        </w:tc>
      </w:tr>
      <w:tr w:rsidR="005E263E" w:rsidRPr="00AA32E1" w14:paraId="1A0E8ACB" w14:textId="77777777" w:rsidTr="00D25C9C">
        <w:trPr>
          <w:cantSplit/>
          <w:trHeight w:val="20"/>
          <w:tblHeader/>
          <w:jc w:val="center"/>
        </w:trPr>
        <w:tc>
          <w:tcPr>
            <w:tcW w:w="2375" w:type="dxa"/>
            <w:gridSpan w:val="2"/>
            <w:vMerge w:val="restart"/>
            <w:tcBorders>
              <w:top w:val="single" w:sz="18" w:space="0" w:color="auto"/>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CE1BA9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Model</w:t>
            </w:r>
          </w:p>
        </w:tc>
        <w:tc>
          <w:tcPr>
            <w:tcW w:w="2409" w:type="dxa"/>
            <w:gridSpan w:val="2"/>
            <w:tcBorders>
              <w:top w:val="single" w:sz="18" w:space="0" w:color="auto"/>
              <w:left w:val="single" w:sz="16" w:space="0" w:color="000000"/>
              <w:right w:val="single" w:sz="18" w:space="0" w:color="auto"/>
            </w:tcBorders>
            <w:shd w:val="clear" w:color="auto" w:fill="FFFFFF"/>
            <w:tcMar>
              <w:top w:w="30" w:type="dxa"/>
              <w:left w:w="30" w:type="dxa"/>
              <w:bottom w:w="30" w:type="dxa"/>
              <w:right w:w="30" w:type="dxa"/>
            </w:tcMar>
            <w:vAlign w:val="bottom"/>
          </w:tcPr>
          <w:p w14:paraId="1AC055C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Unstandardized Coefficients</w:t>
            </w:r>
          </w:p>
        </w:tc>
        <w:tc>
          <w:tcPr>
            <w:tcW w:w="2146" w:type="dxa"/>
            <w:tcBorders>
              <w:top w:val="single" w:sz="18" w:space="0" w:color="auto"/>
              <w:left w:val="single" w:sz="18" w:space="0" w:color="auto"/>
              <w:right w:val="single" w:sz="18" w:space="0" w:color="auto"/>
            </w:tcBorders>
            <w:shd w:val="clear" w:color="auto" w:fill="FFFFFF"/>
            <w:tcMar>
              <w:top w:w="30" w:type="dxa"/>
              <w:left w:w="30" w:type="dxa"/>
              <w:bottom w:w="30" w:type="dxa"/>
              <w:right w:w="30" w:type="dxa"/>
            </w:tcMar>
            <w:vAlign w:val="bottom"/>
          </w:tcPr>
          <w:p w14:paraId="5FA67C3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Standardized Coefficients</w:t>
            </w:r>
          </w:p>
        </w:tc>
        <w:tc>
          <w:tcPr>
            <w:tcW w:w="810" w:type="dxa"/>
            <w:vMerge w:val="restart"/>
            <w:tcBorders>
              <w:top w:val="single" w:sz="18" w:space="0" w:color="auto"/>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10F93A0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t</w:t>
            </w:r>
          </w:p>
        </w:tc>
        <w:tc>
          <w:tcPr>
            <w:tcW w:w="1260" w:type="dxa"/>
            <w:vMerge w:val="restart"/>
            <w:tcBorders>
              <w:top w:val="single" w:sz="18" w:space="0" w:color="auto"/>
              <w:left w:val="single" w:sz="18"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443400C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Sig.</w:t>
            </w:r>
          </w:p>
        </w:tc>
      </w:tr>
      <w:tr w:rsidR="005E263E" w:rsidRPr="00AA32E1" w14:paraId="0D03336B" w14:textId="77777777" w:rsidTr="00D25C9C">
        <w:trPr>
          <w:cantSplit/>
          <w:trHeight w:val="20"/>
          <w:tblHeader/>
          <w:jc w:val="center"/>
        </w:trPr>
        <w:tc>
          <w:tcPr>
            <w:tcW w:w="237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AEF3F93"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134" w:type="dxa"/>
            <w:tcBorders>
              <w:left w:val="single" w:sz="16" w:space="0" w:color="000000"/>
              <w:bottom w:val="single" w:sz="16" w:space="0" w:color="000000"/>
              <w:right w:val="single" w:sz="18" w:space="0" w:color="auto"/>
            </w:tcBorders>
            <w:shd w:val="clear" w:color="auto" w:fill="FFFFFF"/>
            <w:tcMar>
              <w:top w:w="30" w:type="dxa"/>
              <w:left w:w="30" w:type="dxa"/>
              <w:bottom w:w="30" w:type="dxa"/>
              <w:right w:w="30" w:type="dxa"/>
            </w:tcMar>
            <w:vAlign w:val="bottom"/>
          </w:tcPr>
          <w:p w14:paraId="0766BC3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w:t>
            </w:r>
          </w:p>
        </w:tc>
        <w:tc>
          <w:tcPr>
            <w:tcW w:w="1275" w:type="dxa"/>
            <w:tcBorders>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0B4FBE0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Std. Error</w:t>
            </w:r>
          </w:p>
        </w:tc>
        <w:tc>
          <w:tcPr>
            <w:tcW w:w="2146" w:type="dxa"/>
            <w:tcBorders>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0D3A254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Beta</w:t>
            </w:r>
          </w:p>
        </w:tc>
        <w:tc>
          <w:tcPr>
            <w:tcW w:w="810" w:type="dxa"/>
            <w:vMerge/>
            <w:tcBorders>
              <w:top w:val="single" w:sz="16" w:space="0" w:color="000000"/>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0AB3FB1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260" w:type="dxa"/>
            <w:vMerge/>
            <w:tcBorders>
              <w:top w:val="single" w:sz="16" w:space="0" w:color="000000"/>
              <w:left w:val="single" w:sz="18"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35B572D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r>
      <w:tr w:rsidR="005E263E" w:rsidRPr="00AA32E1" w14:paraId="53ACFB52" w14:textId="77777777" w:rsidTr="00D25C9C">
        <w:trPr>
          <w:cantSplit/>
          <w:trHeight w:val="20"/>
          <w:tblHeader/>
          <w:jc w:val="center"/>
        </w:trPr>
        <w:tc>
          <w:tcPr>
            <w:tcW w:w="3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D841C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w:t>
            </w:r>
          </w:p>
        </w:tc>
        <w:tc>
          <w:tcPr>
            <w:tcW w:w="198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96021B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(Constant)</w:t>
            </w:r>
          </w:p>
        </w:tc>
        <w:tc>
          <w:tcPr>
            <w:tcW w:w="1134" w:type="dxa"/>
            <w:tcBorders>
              <w:top w:val="single" w:sz="16" w:space="0" w:color="000000"/>
              <w:left w:val="single" w:sz="16" w:space="0" w:color="000000"/>
              <w:bottom w:val="nil"/>
              <w:right w:val="single" w:sz="18" w:space="0" w:color="auto"/>
            </w:tcBorders>
            <w:shd w:val="clear" w:color="auto" w:fill="FFFFFF"/>
            <w:tcMar>
              <w:top w:w="30" w:type="dxa"/>
              <w:left w:w="30" w:type="dxa"/>
              <w:bottom w:w="30" w:type="dxa"/>
              <w:right w:w="30" w:type="dxa"/>
            </w:tcMar>
            <w:vAlign w:val="center"/>
          </w:tcPr>
          <w:p w14:paraId="57FA730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0.638</w:t>
            </w:r>
          </w:p>
        </w:tc>
        <w:tc>
          <w:tcPr>
            <w:tcW w:w="1275" w:type="dxa"/>
            <w:tcBorders>
              <w:top w:val="single" w:sz="16" w:space="0" w:color="000000"/>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3E1C801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0.477</w:t>
            </w:r>
          </w:p>
        </w:tc>
        <w:tc>
          <w:tcPr>
            <w:tcW w:w="2146" w:type="dxa"/>
            <w:tcBorders>
              <w:top w:val="single" w:sz="16" w:space="0" w:color="000000"/>
              <w:left w:val="single" w:sz="18" w:space="0" w:color="auto"/>
              <w:bottom w:val="nil"/>
              <w:right w:val="single" w:sz="18" w:space="0" w:color="auto"/>
            </w:tcBorders>
            <w:shd w:val="clear" w:color="auto" w:fill="FFFFFF"/>
            <w:tcMar>
              <w:top w:w="30" w:type="dxa"/>
              <w:left w:w="30" w:type="dxa"/>
              <w:bottom w:w="30" w:type="dxa"/>
              <w:right w:w="30" w:type="dxa"/>
            </w:tcMar>
          </w:tcPr>
          <w:p w14:paraId="666A6E9B"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810" w:type="dxa"/>
            <w:tcBorders>
              <w:top w:val="single" w:sz="16" w:space="0" w:color="000000"/>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1C222D5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1.338</w:t>
            </w:r>
          </w:p>
        </w:tc>
        <w:tc>
          <w:tcPr>
            <w:tcW w:w="1260" w:type="dxa"/>
            <w:tcBorders>
              <w:top w:val="single" w:sz="16" w:space="0" w:color="000000"/>
              <w:left w:val="single" w:sz="18" w:space="0" w:color="auto"/>
              <w:bottom w:val="nil"/>
              <w:right w:val="single" w:sz="16" w:space="0" w:color="000000"/>
            </w:tcBorders>
            <w:shd w:val="clear" w:color="auto" w:fill="FFFFFF"/>
            <w:tcMar>
              <w:top w:w="30" w:type="dxa"/>
              <w:left w:w="30" w:type="dxa"/>
              <w:bottom w:w="30" w:type="dxa"/>
              <w:right w:w="30" w:type="dxa"/>
            </w:tcMar>
            <w:vAlign w:val="center"/>
          </w:tcPr>
          <w:p w14:paraId="663328B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0.186</w:t>
            </w:r>
          </w:p>
        </w:tc>
      </w:tr>
      <w:tr w:rsidR="005E263E" w:rsidRPr="00AA32E1" w14:paraId="5F10EF4F" w14:textId="77777777" w:rsidTr="00D25C9C">
        <w:trPr>
          <w:cantSplit/>
          <w:tblHeader/>
          <w:jc w:val="cent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E325DA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985" w:type="dxa"/>
            <w:tcBorders>
              <w:top w:val="nil"/>
              <w:left w:val="nil"/>
              <w:bottom w:val="nil"/>
              <w:right w:val="single" w:sz="16" w:space="0" w:color="000000"/>
            </w:tcBorders>
            <w:shd w:val="clear" w:color="auto" w:fill="FFFFFF"/>
            <w:tcMar>
              <w:top w:w="30" w:type="dxa"/>
              <w:left w:w="30" w:type="dxa"/>
              <w:bottom w:w="30" w:type="dxa"/>
              <w:right w:w="30" w:type="dxa"/>
            </w:tcMar>
          </w:tcPr>
          <w:p w14:paraId="5D3F492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Budget Participation</w:t>
            </w:r>
          </w:p>
        </w:tc>
        <w:tc>
          <w:tcPr>
            <w:tcW w:w="1134" w:type="dxa"/>
            <w:tcBorders>
              <w:top w:val="nil"/>
              <w:left w:val="single" w:sz="16" w:space="0" w:color="000000"/>
              <w:bottom w:val="nil"/>
              <w:right w:val="single" w:sz="18" w:space="0" w:color="auto"/>
            </w:tcBorders>
            <w:shd w:val="clear" w:color="auto" w:fill="FFFFFF"/>
            <w:tcMar>
              <w:top w:w="30" w:type="dxa"/>
              <w:left w:w="30" w:type="dxa"/>
              <w:bottom w:w="30" w:type="dxa"/>
              <w:right w:w="30" w:type="dxa"/>
            </w:tcMar>
            <w:vAlign w:val="center"/>
          </w:tcPr>
          <w:p w14:paraId="5FE6183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0.016</w:t>
            </w:r>
          </w:p>
        </w:tc>
        <w:tc>
          <w:tcPr>
            <w:tcW w:w="1275"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193BAE8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0.097</w:t>
            </w:r>
          </w:p>
        </w:tc>
        <w:tc>
          <w:tcPr>
            <w:tcW w:w="2146"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21A4366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0.019</w:t>
            </w:r>
          </w:p>
        </w:tc>
        <w:tc>
          <w:tcPr>
            <w:tcW w:w="810"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33C71B4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0.166</w:t>
            </w:r>
          </w:p>
        </w:tc>
        <w:tc>
          <w:tcPr>
            <w:tcW w:w="1260" w:type="dxa"/>
            <w:tcBorders>
              <w:top w:val="nil"/>
              <w:left w:val="single" w:sz="18" w:space="0" w:color="auto"/>
              <w:bottom w:val="nil"/>
              <w:right w:val="single" w:sz="16" w:space="0" w:color="000000"/>
            </w:tcBorders>
            <w:shd w:val="clear" w:color="auto" w:fill="FFFFFF"/>
            <w:tcMar>
              <w:top w:w="30" w:type="dxa"/>
              <w:left w:w="30" w:type="dxa"/>
              <w:bottom w:w="30" w:type="dxa"/>
              <w:right w:w="30" w:type="dxa"/>
            </w:tcMar>
            <w:vAlign w:val="center"/>
          </w:tcPr>
          <w:p w14:paraId="786F40A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0.869</w:t>
            </w:r>
          </w:p>
        </w:tc>
      </w:tr>
      <w:tr w:rsidR="005E263E" w:rsidRPr="00AA32E1" w14:paraId="526C151D" w14:textId="77777777" w:rsidTr="00D25C9C">
        <w:trPr>
          <w:cantSplit/>
          <w:tblHeader/>
          <w:jc w:val="cent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7B9880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985" w:type="dxa"/>
            <w:tcBorders>
              <w:top w:val="nil"/>
              <w:left w:val="nil"/>
              <w:bottom w:val="nil"/>
              <w:right w:val="single" w:sz="16" w:space="0" w:color="000000"/>
            </w:tcBorders>
            <w:shd w:val="clear" w:color="auto" w:fill="FFFFFF"/>
            <w:tcMar>
              <w:top w:w="30" w:type="dxa"/>
              <w:left w:w="30" w:type="dxa"/>
              <w:bottom w:w="30" w:type="dxa"/>
              <w:right w:w="30" w:type="dxa"/>
            </w:tcMar>
          </w:tcPr>
          <w:p w14:paraId="13A48F0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Budget Goal Clarity</w:t>
            </w:r>
          </w:p>
        </w:tc>
        <w:tc>
          <w:tcPr>
            <w:tcW w:w="1134" w:type="dxa"/>
            <w:tcBorders>
              <w:top w:val="nil"/>
              <w:left w:val="single" w:sz="16" w:space="0" w:color="000000"/>
              <w:bottom w:val="nil"/>
              <w:right w:val="single" w:sz="18" w:space="0" w:color="auto"/>
            </w:tcBorders>
            <w:shd w:val="clear" w:color="auto" w:fill="FFFFFF"/>
            <w:tcMar>
              <w:top w:w="30" w:type="dxa"/>
              <w:left w:w="30" w:type="dxa"/>
              <w:bottom w:w="30" w:type="dxa"/>
              <w:right w:w="30" w:type="dxa"/>
            </w:tcMar>
            <w:vAlign w:val="center"/>
          </w:tcPr>
          <w:p w14:paraId="2B1087A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0.036</w:t>
            </w:r>
          </w:p>
        </w:tc>
        <w:tc>
          <w:tcPr>
            <w:tcW w:w="1275"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3431697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0.122</w:t>
            </w:r>
          </w:p>
        </w:tc>
        <w:tc>
          <w:tcPr>
            <w:tcW w:w="2146"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66A7B28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0.038</w:t>
            </w:r>
          </w:p>
        </w:tc>
        <w:tc>
          <w:tcPr>
            <w:tcW w:w="810"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4A77C22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0.292</w:t>
            </w:r>
          </w:p>
        </w:tc>
        <w:tc>
          <w:tcPr>
            <w:tcW w:w="1260" w:type="dxa"/>
            <w:tcBorders>
              <w:top w:val="nil"/>
              <w:left w:val="single" w:sz="18" w:space="0" w:color="auto"/>
              <w:bottom w:val="nil"/>
              <w:right w:val="single" w:sz="16" w:space="0" w:color="000000"/>
            </w:tcBorders>
            <w:shd w:val="clear" w:color="auto" w:fill="FFFFFF"/>
            <w:tcMar>
              <w:top w:w="30" w:type="dxa"/>
              <w:left w:w="30" w:type="dxa"/>
              <w:bottom w:w="30" w:type="dxa"/>
              <w:right w:w="30" w:type="dxa"/>
            </w:tcMar>
            <w:vAlign w:val="center"/>
          </w:tcPr>
          <w:p w14:paraId="6F6009FD"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0.771</w:t>
            </w:r>
          </w:p>
        </w:tc>
      </w:tr>
      <w:tr w:rsidR="005E263E" w:rsidRPr="00AA32E1" w14:paraId="69FE61D0" w14:textId="77777777" w:rsidTr="00D25C9C">
        <w:trPr>
          <w:cantSplit/>
          <w:tblHeader/>
          <w:jc w:val="cent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72CA1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985" w:type="dxa"/>
            <w:tcBorders>
              <w:top w:val="nil"/>
              <w:left w:val="nil"/>
              <w:bottom w:val="nil"/>
              <w:right w:val="single" w:sz="16" w:space="0" w:color="000000"/>
            </w:tcBorders>
            <w:shd w:val="clear" w:color="auto" w:fill="FFFFFF"/>
            <w:tcMar>
              <w:top w:w="30" w:type="dxa"/>
              <w:left w:w="30" w:type="dxa"/>
              <w:bottom w:w="30" w:type="dxa"/>
              <w:right w:w="30" w:type="dxa"/>
            </w:tcMar>
          </w:tcPr>
          <w:p w14:paraId="29BF6B9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Distribution Fairness</w:t>
            </w:r>
          </w:p>
        </w:tc>
        <w:tc>
          <w:tcPr>
            <w:tcW w:w="1134" w:type="dxa"/>
            <w:tcBorders>
              <w:top w:val="nil"/>
              <w:left w:val="single" w:sz="16" w:space="0" w:color="000000"/>
              <w:bottom w:val="nil"/>
              <w:right w:val="single" w:sz="18" w:space="0" w:color="auto"/>
            </w:tcBorders>
            <w:shd w:val="clear" w:color="auto" w:fill="FFFFFF"/>
            <w:tcMar>
              <w:top w:w="30" w:type="dxa"/>
              <w:left w:w="30" w:type="dxa"/>
              <w:bottom w:w="30" w:type="dxa"/>
              <w:right w:w="30" w:type="dxa"/>
            </w:tcMar>
            <w:vAlign w:val="center"/>
          </w:tcPr>
          <w:p w14:paraId="2F8F18C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-0.167</w:t>
            </w:r>
          </w:p>
        </w:tc>
        <w:tc>
          <w:tcPr>
            <w:tcW w:w="1275"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1FB7835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0.090</w:t>
            </w:r>
          </w:p>
        </w:tc>
        <w:tc>
          <w:tcPr>
            <w:tcW w:w="2146"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5E362E5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-0.225</w:t>
            </w:r>
          </w:p>
        </w:tc>
        <w:tc>
          <w:tcPr>
            <w:tcW w:w="810"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5F9BBC7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-1.853</w:t>
            </w:r>
          </w:p>
        </w:tc>
        <w:tc>
          <w:tcPr>
            <w:tcW w:w="1260" w:type="dxa"/>
            <w:tcBorders>
              <w:top w:val="nil"/>
              <w:left w:val="single" w:sz="18" w:space="0" w:color="auto"/>
              <w:bottom w:val="nil"/>
              <w:right w:val="single" w:sz="16" w:space="0" w:color="000000"/>
            </w:tcBorders>
            <w:shd w:val="clear" w:color="auto" w:fill="FFFFFF"/>
            <w:tcMar>
              <w:top w:w="30" w:type="dxa"/>
              <w:left w:w="30" w:type="dxa"/>
              <w:bottom w:w="30" w:type="dxa"/>
              <w:right w:w="30" w:type="dxa"/>
            </w:tcMar>
            <w:vAlign w:val="center"/>
          </w:tcPr>
          <w:p w14:paraId="749A997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0.069</w:t>
            </w:r>
          </w:p>
        </w:tc>
      </w:tr>
      <w:tr w:rsidR="005E263E" w:rsidRPr="00AA32E1" w14:paraId="4755F8DA" w14:textId="77777777" w:rsidTr="00D25C9C">
        <w:trPr>
          <w:cantSplit/>
          <w:trHeight w:val="20"/>
          <w:tblHeader/>
          <w:jc w:val="cent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FB64D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98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D597F9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Commitment to goal</w:t>
            </w:r>
          </w:p>
        </w:tc>
        <w:tc>
          <w:tcPr>
            <w:tcW w:w="1134" w:type="dxa"/>
            <w:tcBorders>
              <w:top w:val="nil"/>
              <w:left w:val="single" w:sz="16" w:space="0" w:color="000000"/>
              <w:bottom w:val="single" w:sz="16" w:space="0" w:color="000000"/>
              <w:right w:val="single" w:sz="18" w:space="0" w:color="auto"/>
            </w:tcBorders>
            <w:shd w:val="clear" w:color="auto" w:fill="FFFFFF"/>
            <w:tcMar>
              <w:top w:w="30" w:type="dxa"/>
              <w:left w:w="30" w:type="dxa"/>
              <w:bottom w:w="30" w:type="dxa"/>
              <w:right w:w="30" w:type="dxa"/>
            </w:tcMar>
            <w:vAlign w:val="center"/>
          </w:tcPr>
          <w:p w14:paraId="1D81007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0.938</w:t>
            </w:r>
          </w:p>
        </w:tc>
        <w:tc>
          <w:tcPr>
            <w:tcW w:w="1275" w:type="dxa"/>
            <w:tcBorders>
              <w:top w:val="nil"/>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center"/>
          </w:tcPr>
          <w:p w14:paraId="78FB1CF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0.134</w:t>
            </w:r>
          </w:p>
        </w:tc>
        <w:tc>
          <w:tcPr>
            <w:tcW w:w="2146" w:type="dxa"/>
            <w:tcBorders>
              <w:top w:val="nil"/>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center"/>
          </w:tcPr>
          <w:p w14:paraId="5492D36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0.704</w:t>
            </w:r>
          </w:p>
        </w:tc>
        <w:tc>
          <w:tcPr>
            <w:tcW w:w="810" w:type="dxa"/>
            <w:tcBorders>
              <w:top w:val="nil"/>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center"/>
          </w:tcPr>
          <w:p w14:paraId="1FC4B53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6.974</w:t>
            </w:r>
          </w:p>
        </w:tc>
        <w:tc>
          <w:tcPr>
            <w:tcW w:w="1260" w:type="dxa"/>
            <w:tcBorders>
              <w:top w:val="nil"/>
              <w:left w:val="single" w:sz="18" w:space="0" w:color="auto"/>
              <w:bottom w:val="single" w:sz="16" w:space="0" w:color="000000"/>
              <w:right w:val="single" w:sz="16" w:space="0" w:color="000000"/>
            </w:tcBorders>
            <w:shd w:val="clear" w:color="auto" w:fill="FFFFFF"/>
            <w:tcMar>
              <w:top w:w="30" w:type="dxa"/>
              <w:left w:w="30" w:type="dxa"/>
              <w:bottom w:w="30" w:type="dxa"/>
              <w:right w:w="30" w:type="dxa"/>
            </w:tcMar>
            <w:vAlign w:val="center"/>
          </w:tcPr>
          <w:p w14:paraId="5868CB8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0.000</w:t>
            </w:r>
          </w:p>
        </w:tc>
      </w:tr>
      <w:tr w:rsidR="005E263E" w:rsidRPr="00AA32E1" w14:paraId="61FBF96A" w14:textId="77777777" w:rsidTr="00D25C9C">
        <w:trPr>
          <w:cantSplit/>
          <w:jc w:val="center"/>
        </w:trPr>
        <w:tc>
          <w:tcPr>
            <w:tcW w:w="4784" w:type="dxa"/>
            <w:gridSpan w:val="4"/>
            <w:tcBorders>
              <w:top w:val="nil"/>
              <w:left w:val="nil"/>
              <w:bottom w:val="nil"/>
              <w:right w:val="nil"/>
            </w:tcBorders>
            <w:shd w:val="clear" w:color="auto" w:fill="FFFFFF"/>
            <w:tcMar>
              <w:top w:w="30" w:type="dxa"/>
              <w:left w:w="30" w:type="dxa"/>
              <w:bottom w:w="30" w:type="dxa"/>
              <w:right w:w="30" w:type="dxa"/>
            </w:tcMar>
          </w:tcPr>
          <w:p w14:paraId="48389D1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a. Dependent Variable: Performance</w:t>
            </w:r>
          </w:p>
        </w:tc>
        <w:tc>
          <w:tcPr>
            <w:tcW w:w="2146" w:type="dxa"/>
            <w:tcBorders>
              <w:top w:val="nil"/>
              <w:left w:val="nil"/>
              <w:bottom w:val="nil"/>
              <w:right w:val="nil"/>
            </w:tcBorders>
            <w:shd w:val="clear" w:color="auto" w:fill="FFFFFF"/>
            <w:tcMar>
              <w:top w:w="30" w:type="dxa"/>
              <w:left w:w="30" w:type="dxa"/>
              <w:bottom w:w="30" w:type="dxa"/>
              <w:right w:w="30" w:type="dxa"/>
            </w:tcMar>
          </w:tcPr>
          <w:p w14:paraId="3EF013D0"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14:paraId="1B34E7D5"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14:paraId="57AEA4FA"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r>
    </w:tbl>
    <w:p w14:paraId="1A9C353F" w14:textId="77777777" w:rsidR="005E263E" w:rsidRPr="00AA32E1" w:rsidRDefault="005E263E" w:rsidP="005E263E">
      <w:pPr>
        <w:keepNext/>
        <w:spacing w:after="0" w:line="240" w:lineRule="auto"/>
        <w:ind w:firstLine="567"/>
        <w:jc w:val="both"/>
        <w:rPr>
          <w:rFonts w:ascii="Calibri" w:hAnsi="Calibri" w:cs="Calibri"/>
          <w:sz w:val="24"/>
          <w:szCs w:val="24"/>
        </w:rPr>
      </w:pPr>
    </w:p>
    <w:p w14:paraId="75B36E47"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sz w:val="24"/>
          <w:szCs w:val="24"/>
        </w:rPr>
        <w:t xml:space="preserve">The results show that (Adjusted R Square =0.497) which is 49.70% of the variance in employee performance is attributed to the combined effect of budgeting participation, budget goal clarity, perception of revenue distribution fairness and goal commitment (B=0.638, t=1.338, p=0.186). The statistically significant predictor of employee performance in achieving the budget goal is goal commitment (B=0.938, t=6.974, p&gt;0.000).  </w:t>
      </w:r>
      <w:proofErr w:type="gramStart"/>
      <w:r w:rsidRPr="00AA32E1">
        <w:rPr>
          <w:rFonts w:ascii="Calibri" w:hAnsi="Calibri" w:cs="Calibri"/>
          <w:sz w:val="24"/>
          <w:szCs w:val="24"/>
        </w:rPr>
        <w:t>Therefore</w:t>
      </w:r>
      <w:proofErr w:type="gramEnd"/>
      <w:r w:rsidRPr="00AA32E1">
        <w:rPr>
          <w:rFonts w:ascii="Calibri" w:hAnsi="Calibri" w:cs="Calibri"/>
          <w:sz w:val="24"/>
          <w:szCs w:val="24"/>
        </w:rPr>
        <w:t xml:space="preserve"> if employees are allowed to participate in the budgeting process of the university, they will tend to be committed to the university corporate goal, which will result in improvement of performance of the university. The results show that none of the </w:t>
      </w:r>
      <w:proofErr w:type="spellStart"/>
      <w:r w:rsidRPr="00AA32E1">
        <w:rPr>
          <w:rFonts w:ascii="Calibri" w:hAnsi="Calibri" w:cs="Calibri"/>
          <w:sz w:val="24"/>
          <w:szCs w:val="24"/>
        </w:rPr>
        <w:t>behavioural</w:t>
      </w:r>
      <w:proofErr w:type="spellEnd"/>
      <w:r w:rsidRPr="00AA32E1">
        <w:rPr>
          <w:rFonts w:ascii="Calibri" w:hAnsi="Calibri" w:cs="Calibri"/>
          <w:sz w:val="24"/>
          <w:szCs w:val="24"/>
        </w:rPr>
        <w:t xml:space="preserve"> elements of budgeting can by itself significantly influence employee performance. </w:t>
      </w:r>
      <w:proofErr w:type="gramStart"/>
      <w:r w:rsidRPr="00AA32E1">
        <w:rPr>
          <w:rFonts w:ascii="Calibri" w:hAnsi="Calibri" w:cs="Calibri"/>
          <w:sz w:val="24"/>
          <w:szCs w:val="24"/>
        </w:rPr>
        <w:t>Thus</w:t>
      </w:r>
      <w:proofErr w:type="gramEnd"/>
      <w:r w:rsidRPr="00AA32E1">
        <w:rPr>
          <w:rFonts w:ascii="Calibri" w:hAnsi="Calibri" w:cs="Calibri"/>
          <w:sz w:val="24"/>
          <w:szCs w:val="24"/>
        </w:rPr>
        <w:t xml:space="preserve"> budget participation can influence improved performance through the interplay of goal clarity, distribution fairness, and commitment to budget goal.  This means that organizations need to pay much attention to budget participation since it is employees’ participation in budget that </w:t>
      </w:r>
      <w:r w:rsidRPr="00AA32E1">
        <w:rPr>
          <w:rFonts w:ascii="Calibri" w:hAnsi="Calibri" w:cs="Calibri"/>
          <w:sz w:val="24"/>
          <w:szCs w:val="24"/>
        </w:rPr>
        <w:lastRenderedPageBreak/>
        <w:t xml:space="preserve">will trigger the other </w:t>
      </w:r>
      <w:proofErr w:type="spellStart"/>
      <w:r w:rsidRPr="00AA32E1">
        <w:rPr>
          <w:rFonts w:ascii="Calibri" w:hAnsi="Calibri" w:cs="Calibri"/>
          <w:sz w:val="24"/>
          <w:szCs w:val="24"/>
        </w:rPr>
        <w:t>behavioural</w:t>
      </w:r>
      <w:proofErr w:type="spellEnd"/>
      <w:r w:rsidRPr="00AA32E1">
        <w:rPr>
          <w:rFonts w:ascii="Calibri" w:hAnsi="Calibri" w:cs="Calibri"/>
          <w:sz w:val="24"/>
          <w:szCs w:val="24"/>
        </w:rPr>
        <w:t xml:space="preserve"> elements which will in tend lead to improved employees’ performance through the attainment of budget goal.  The researchers again used regression to check the strength of relationship between commitment to budget goal and other </w:t>
      </w:r>
      <w:proofErr w:type="spellStart"/>
      <w:r w:rsidRPr="00AA32E1">
        <w:rPr>
          <w:rFonts w:ascii="Calibri" w:hAnsi="Calibri" w:cs="Calibri"/>
          <w:sz w:val="24"/>
          <w:szCs w:val="24"/>
        </w:rPr>
        <w:t>behavioural</w:t>
      </w:r>
      <w:proofErr w:type="spellEnd"/>
      <w:r w:rsidRPr="00AA32E1">
        <w:rPr>
          <w:rFonts w:ascii="Calibri" w:hAnsi="Calibri" w:cs="Calibri"/>
          <w:sz w:val="24"/>
          <w:szCs w:val="24"/>
        </w:rPr>
        <w:t xml:space="preserve"> elements and the results are shown in Table 8 below:</w:t>
      </w:r>
    </w:p>
    <w:p w14:paraId="7F9A8310" w14:textId="77777777" w:rsidR="005E263E" w:rsidRPr="00AA32E1" w:rsidRDefault="005E263E" w:rsidP="005E263E">
      <w:pPr>
        <w:keepNext/>
        <w:spacing w:after="0" w:line="240" w:lineRule="auto"/>
        <w:ind w:firstLine="567"/>
        <w:jc w:val="both"/>
        <w:rPr>
          <w:rFonts w:ascii="Calibri" w:hAnsi="Calibri" w:cs="Calibri"/>
          <w:sz w:val="24"/>
          <w:szCs w:val="24"/>
        </w:rPr>
      </w:pPr>
    </w:p>
    <w:p w14:paraId="76AA438E" w14:textId="77777777" w:rsidR="000905AA" w:rsidRPr="000905AA" w:rsidRDefault="005E263E" w:rsidP="005E263E">
      <w:pPr>
        <w:keepNext/>
        <w:autoSpaceDE w:val="0"/>
        <w:autoSpaceDN w:val="0"/>
        <w:adjustRightInd w:val="0"/>
        <w:spacing w:after="0" w:line="240" w:lineRule="auto"/>
        <w:jc w:val="both"/>
        <w:rPr>
          <w:rFonts w:ascii="Calibri" w:hAnsi="Calibri" w:cs="Calibri"/>
          <w:iCs/>
          <w:sz w:val="24"/>
          <w:szCs w:val="24"/>
        </w:rPr>
      </w:pPr>
      <w:r w:rsidRPr="000905AA">
        <w:rPr>
          <w:rFonts w:ascii="Calibri" w:hAnsi="Calibri" w:cs="Calibri"/>
          <w:iCs/>
          <w:sz w:val="24"/>
          <w:szCs w:val="24"/>
        </w:rPr>
        <w:t>Table 8</w:t>
      </w:r>
    </w:p>
    <w:p w14:paraId="65A304F5" w14:textId="7CEE8383" w:rsidR="005E263E" w:rsidRPr="000905AA" w:rsidRDefault="005E263E" w:rsidP="005E263E">
      <w:pPr>
        <w:keepNext/>
        <w:autoSpaceDE w:val="0"/>
        <w:autoSpaceDN w:val="0"/>
        <w:adjustRightInd w:val="0"/>
        <w:spacing w:after="0" w:line="240" w:lineRule="auto"/>
        <w:jc w:val="both"/>
        <w:rPr>
          <w:rFonts w:ascii="Calibri" w:hAnsi="Calibri" w:cs="Calibri"/>
          <w:i/>
          <w:iCs/>
          <w:sz w:val="24"/>
          <w:szCs w:val="24"/>
        </w:rPr>
      </w:pPr>
      <w:r w:rsidRPr="000905AA">
        <w:rPr>
          <w:rFonts w:ascii="Calibri" w:hAnsi="Calibri" w:cs="Calibri"/>
          <w:i/>
          <w:iCs/>
          <w:sz w:val="24"/>
          <w:szCs w:val="24"/>
        </w:rPr>
        <w:t>Regression results (Commitment to corporate goal)</w:t>
      </w:r>
    </w:p>
    <w:tbl>
      <w:tblPr>
        <w:tblW w:w="92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32"/>
        <w:gridCol w:w="850"/>
        <w:gridCol w:w="1843"/>
        <w:gridCol w:w="865"/>
        <w:gridCol w:w="1000"/>
        <w:gridCol w:w="545"/>
        <w:gridCol w:w="850"/>
        <w:gridCol w:w="765"/>
      </w:tblGrid>
      <w:tr w:rsidR="005E263E" w:rsidRPr="00AA32E1" w14:paraId="7296F85A" w14:textId="77777777" w:rsidTr="00D25C9C">
        <w:trPr>
          <w:cantSplit/>
          <w:trHeight w:val="20"/>
          <w:tblHeader/>
        </w:trPr>
        <w:tc>
          <w:tcPr>
            <w:tcW w:w="9270" w:type="dxa"/>
            <w:gridSpan w:val="9"/>
            <w:tcBorders>
              <w:top w:val="single" w:sz="18" w:space="0" w:color="auto"/>
              <w:left w:val="single" w:sz="18" w:space="0" w:color="auto"/>
              <w:bottom w:val="single" w:sz="18" w:space="0" w:color="auto"/>
              <w:right w:val="single" w:sz="18" w:space="0" w:color="auto"/>
            </w:tcBorders>
            <w:shd w:val="clear" w:color="auto" w:fill="FFFFFF"/>
            <w:tcMar>
              <w:top w:w="30" w:type="dxa"/>
              <w:left w:w="30" w:type="dxa"/>
              <w:bottom w:w="30" w:type="dxa"/>
              <w:right w:w="30" w:type="dxa"/>
            </w:tcMar>
            <w:vAlign w:val="center"/>
          </w:tcPr>
          <w:p w14:paraId="7ABFE14B" w14:textId="77777777" w:rsidR="005E263E" w:rsidRPr="00AA32E1" w:rsidRDefault="005E263E" w:rsidP="00D25C9C">
            <w:pPr>
              <w:keepNext/>
              <w:autoSpaceDE w:val="0"/>
              <w:autoSpaceDN w:val="0"/>
              <w:adjustRightInd w:val="0"/>
              <w:spacing w:after="0" w:line="240" w:lineRule="auto"/>
              <w:jc w:val="both"/>
              <w:rPr>
                <w:rFonts w:ascii="Calibri" w:hAnsi="Calibri" w:cs="Calibri"/>
                <w:b/>
                <w:bCs/>
                <w:color w:val="000000"/>
                <w:sz w:val="24"/>
                <w:szCs w:val="24"/>
              </w:rPr>
            </w:pPr>
            <w:r w:rsidRPr="00AA32E1">
              <w:rPr>
                <w:rFonts w:ascii="Calibri" w:hAnsi="Calibri" w:cs="Calibri"/>
                <w:b/>
                <w:bCs/>
                <w:color w:val="000000"/>
                <w:sz w:val="24"/>
                <w:szCs w:val="24"/>
              </w:rPr>
              <w:t>R Square=0.217                                                                                              F=4.424</w:t>
            </w:r>
          </w:p>
          <w:p w14:paraId="2E32EC10"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Adjusted R Square=0.168                                                                                Sig= .003</w:t>
            </w:r>
          </w:p>
        </w:tc>
      </w:tr>
      <w:tr w:rsidR="005E263E" w:rsidRPr="00AA32E1" w14:paraId="407CF37F" w14:textId="77777777" w:rsidTr="00D25C9C">
        <w:trPr>
          <w:cantSplit/>
          <w:trHeight w:val="20"/>
          <w:tblHeader/>
        </w:trPr>
        <w:tc>
          <w:tcPr>
            <w:tcW w:w="2552" w:type="dxa"/>
            <w:gridSpan w:val="2"/>
            <w:vMerge w:val="restart"/>
            <w:tcBorders>
              <w:top w:val="single" w:sz="18" w:space="0" w:color="auto"/>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4C28D0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Model</w:t>
            </w:r>
          </w:p>
        </w:tc>
        <w:tc>
          <w:tcPr>
            <w:tcW w:w="2693" w:type="dxa"/>
            <w:gridSpan w:val="2"/>
            <w:tcBorders>
              <w:top w:val="single" w:sz="18" w:space="0" w:color="auto"/>
              <w:left w:val="single" w:sz="16" w:space="0" w:color="000000"/>
              <w:bottom w:val="single" w:sz="18" w:space="0" w:color="auto"/>
              <w:right w:val="single" w:sz="18" w:space="0" w:color="auto"/>
            </w:tcBorders>
            <w:shd w:val="clear" w:color="auto" w:fill="FFFFFF"/>
            <w:tcMar>
              <w:top w:w="30" w:type="dxa"/>
              <w:left w:w="30" w:type="dxa"/>
              <w:bottom w:w="30" w:type="dxa"/>
              <w:right w:w="30" w:type="dxa"/>
            </w:tcMar>
            <w:vAlign w:val="bottom"/>
          </w:tcPr>
          <w:p w14:paraId="56A93AF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Unstandardized Coefficients</w:t>
            </w:r>
          </w:p>
        </w:tc>
        <w:tc>
          <w:tcPr>
            <w:tcW w:w="2410" w:type="dxa"/>
            <w:gridSpan w:val="3"/>
            <w:tcBorders>
              <w:top w:val="single" w:sz="18" w:space="0" w:color="auto"/>
              <w:left w:val="single" w:sz="18" w:space="0" w:color="auto"/>
              <w:bottom w:val="single" w:sz="18" w:space="0" w:color="auto"/>
              <w:right w:val="single" w:sz="18" w:space="0" w:color="auto"/>
            </w:tcBorders>
            <w:shd w:val="clear" w:color="auto" w:fill="FFFFFF"/>
            <w:tcMar>
              <w:top w:w="30" w:type="dxa"/>
              <w:left w:w="30" w:type="dxa"/>
              <w:bottom w:w="30" w:type="dxa"/>
              <w:right w:w="30" w:type="dxa"/>
            </w:tcMar>
            <w:vAlign w:val="bottom"/>
          </w:tcPr>
          <w:p w14:paraId="354794A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Standardized Coefficients</w:t>
            </w:r>
          </w:p>
        </w:tc>
        <w:tc>
          <w:tcPr>
            <w:tcW w:w="850" w:type="dxa"/>
            <w:vMerge w:val="restart"/>
            <w:tcBorders>
              <w:top w:val="single" w:sz="18" w:space="0" w:color="auto"/>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161FC29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T</w:t>
            </w:r>
          </w:p>
        </w:tc>
        <w:tc>
          <w:tcPr>
            <w:tcW w:w="765" w:type="dxa"/>
            <w:vMerge w:val="restart"/>
            <w:tcBorders>
              <w:top w:val="single" w:sz="18" w:space="0" w:color="auto"/>
              <w:left w:val="single" w:sz="18"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5B78B32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Sig.</w:t>
            </w:r>
          </w:p>
        </w:tc>
      </w:tr>
      <w:tr w:rsidR="005E263E" w:rsidRPr="00AA32E1" w14:paraId="4C38B108" w14:textId="77777777" w:rsidTr="00D25C9C">
        <w:trPr>
          <w:cantSplit/>
          <w:tblHeader/>
        </w:trPr>
        <w:tc>
          <w:tcPr>
            <w:tcW w:w="255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496284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850" w:type="dxa"/>
            <w:tcBorders>
              <w:top w:val="single" w:sz="18" w:space="0" w:color="auto"/>
              <w:left w:val="single" w:sz="16" w:space="0" w:color="000000"/>
              <w:bottom w:val="single" w:sz="16" w:space="0" w:color="000000"/>
              <w:right w:val="single" w:sz="18" w:space="0" w:color="auto"/>
            </w:tcBorders>
            <w:shd w:val="clear" w:color="auto" w:fill="FFFFFF"/>
            <w:tcMar>
              <w:top w:w="30" w:type="dxa"/>
              <w:left w:w="30" w:type="dxa"/>
              <w:bottom w:w="30" w:type="dxa"/>
              <w:right w:w="30" w:type="dxa"/>
            </w:tcMar>
            <w:vAlign w:val="bottom"/>
          </w:tcPr>
          <w:p w14:paraId="5F94F1A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w:t>
            </w:r>
          </w:p>
        </w:tc>
        <w:tc>
          <w:tcPr>
            <w:tcW w:w="1843" w:type="dxa"/>
            <w:tcBorders>
              <w:top w:val="single" w:sz="18" w:space="0" w:color="auto"/>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7007922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Std. Error</w:t>
            </w:r>
          </w:p>
        </w:tc>
        <w:tc>
          <w:tcPr>
            <w:tcW w:w="2410" w:type="dxa"/>
            <w:gridSpan w:val="3"/>
            <w:tcBorders>
              <w:top w:val="single" w:sz="18" w:space="0" w:color="auto"/>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6D7E86A8"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Beta</w:t>
            </w:r>
          </w:p>
        </w:tc>
        <w:tc>
          <w:tcPr>
            <w:tcW w:w="850" w:type="dxa"/>
            <w:vMerge/>
            <w:tcBorders>
              <w:top w:val="single" w:sz="16" w:space="0" w:color="000000"/>
              <w:left w:val="single" w:sz="18" w:space="0" w:color="auto"/>
              <w:bottom w:val="single" w:sz="16" w:space="0" w:color="000000"/>
              <w:right w:val="single" w:sz="18" w:space="0" w:color="auto"/>
            </w:tcBorders>
            <w:shd w:val="clear" w:color="auto" w:fill="FFFFFF"/>
            <w:tcMar>
              <w:top w:w="30" w:type="dxa"/>
              <w:left w:w="30" w:type="dxa"/>
              <w:bottom w:w="30" w:type="dxa"/>
              <w:right w:w="30" w:type="dxa"/>
            </w:tcMar>
            <w:vAlign w:val="bottom"/>
          </w:tcPr>
          <w:p w14:paraId="2A00C68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765" w:type="dxa"/>
            <w:vMerge/>
            <w:tcBorders>
              <w:top w:val="single" w:sz="16" w:space="0" w:color="000000"/>
              <w:left w:val="single" w:sz="18"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7ACE023C"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r>
      <w:tr w:rsidR="005E263E" w:rsidRPr="00AA32E1" w14:paraId="6D565B12" w14:textId="77777777" w:rsidTr="00D25C9C">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5EC55D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w:t>
            </w:r>
          </w:p>
        </w:tc>
        <w:tc>
          <w:tcPr>
            <w:tcW w:w="183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6A64CC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(Constant)</w:t>
            </w:r>
          </w:p>
        </w:tc>
        <w:tc>
          <w:tcPr>
            <w:tcW w:w="850" w:type="dxa"/>
            <w:tcBorders>
              <w:top w:val="single" w:sz="16" w:space="0" w:color="000000"/>
              <w:left w:val="single" w:sz="16" w:space="0" w:color="000000"/>
              <w:bottom w:val="nil"/>
              <w:right w:val="single" w:sz="18" w:space="0" w:color="auto"/>
            </w:tcBorders>
            <w:shd w:val="clear" w:color="auto" w:fill="FFFFFF"/>
            <w:tcMar>
              <w:top w:w="30" w:type="dxa"/>
              <w:left w:w="30" w:type="dxa"/>
              <w:bottom w:w="30" w:type="dxa"/>
              <w:right w:w="30" w:type="dxa"/>
            </w:tcMar>
            <w:vAlign w:val="center"/>
          </w:tcPr>
          <w:p w14:paraId="74DC848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2.601</w:t>
            </w:r>
          </w:p>
        </w:tc>
        <w:tc>
          <w:tcPr>
            <w:tcW w:w="1843" w:type="dxa"/>
            <w:tcBorders>
              <w:top w:val="single" w:sz="16" w:space="0" w:color="000000"/>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4AD4E9C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0.301</w:t>
            </w:r>
          </w:p>
        </w:tc>
        <w:tc>
          <w:tcPr>
            <w:tcW w:w="2410" w:type="dxa"/>
            <w:gridSpan w:val="3"/>
            <w:tcBorders>
              <w:top w:val="single" w:sz="16" w:space="0" w:color="000000"/>
              <w:left w:val="single" w:sz="18" w:space="0" w:color="auto"/>
              <w:bottom w:val="nil"/>
              <w:right w:val="single" w:sz="18" w:space="0" w:color="auto"/>
            </w:tcBorders>
            <w:shd w:val="clear" w:color="auto" w:fill="FFFFFF"/>
            <w:tcMar>
              <w:top w:w="30" w:type="dxa"/>
              <w:left w:w="30" w:type="dxa"/>
              <w:bottom w:w="30" w:type="dxa"/>
              <w:right w:w="30" w:type="dxa"/>
            </w:tcMar>
          </w:tcPr>
          <w:p w14:paraId="6519AD71"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850" w:type="dxa"/>
            <w:tcBorders>
              <w:top w:val="single" w:sz="16" w:space="0" w:color="000000"/>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251FB7B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8.632</w:t>
            </w:r>
          </w:p>
        </w:tc>
        <w:tc>
          <w:tcPr>
            <w:tcW w:w="765" w:type="dxa"/>
            <w:tcBorders>
              <w:top w:val="single" w:sz="16" w:space="0" w:color="000000"/>
              <w:left w:val="single" w:sz="18" w:space="0" w:color="auto"/>
              <w:bottom w:val="nil"/>
              <w:right w:val="single" w:sz="16" w:space="0" w:color="000000"/>
            </w:tcBorders>
            <w:shd w:val="clear" w:color="auto" w:fill="FFFFFF"/>
            <w:tcMar>
              <w:top w:w="30" w:type="dxa"/>
              <w:left w:w="30" w:type="dxa"/>
              <w:bottom w:w="30" w:type="dxa"/>
              <w:right w:w="30" w:type="dxa"/>
            </w:tcMar>
            <w:vAlign w:val="center"/>
          </w:tcPr>
          <w:p w14:paraId="4CD6F3D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0.000</w:t>
            </w:r>
          </w:p>
        </w:tc>
      </w:tr>
      <w:tr w:rsidR="005E263E" w:rsidRPr="00AA32E1" w14:paraId="431DEA2A" w14:textId="77777777" w:rsidTr="00D25C9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4F0B00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14:paraId="409F064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Budget Participation</w:t>
            </w:r>
          </w:p>
        </w:tc>
        <w:tc>
          <w:tcPr>
            <w:tcW w:w="850" w:type="dxa"/>
            <w:tcBorders>
              <w:top w:val="nil"/>
              <w:left w:val="single" w:sz="16" w:space="0" w:color="000000"/>
              <w:bottom w:val="nil"/>
              <w:right w:val="single" w:sz="18" w:space="0" w:color="auto"/>
            </w:tcBorders>
            <w:shd w:val="clear" w:color="auto" w:fill="FFFFFF"/>
            <w:tcMar>
              <w:top w:w="30" w:type="dxa"/>
              <w:left w:w="30" w:type="dxa"/>
              <w:bottom w:w="30" w:type="dxa"/>
              <w:right w:w="30" w:type="dxa"/>
            </w:tcMar>
            <w:vAlign w:val="center"/>
          </w:tcPr>
          <w:p w14:paraId="2FC132B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0.147</w:t>
            </w:r>
          </w:p>
        </w:tc>
        <w:tc>
          <w:tcPr>
            <w:tcW w:w="1843"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21C3EE5A"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0.088</w:t>
            </w:r>
          </w:p>
        </w:tc>
        <w:tc>
          <w:tcPr>
            <w:tcW w:w="2410" w:type="dxa"/>
            <w:gridSpan w:val="3"/>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749BB1EF"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0.235</w:t>
            </w:r>
          </w:p>
        </w:tc>
        <w:tc>
          <w:tcPr>
            <w:tcW w:w="850"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1406035B"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1.674</w:t>
            </w:r>
          </w:p>
        </w:tc>
        <w:tc>
          <w:tcPr>
            <w:tcW w:w="765" w:type="dxa"/>
            <w:tcBorders>
              <w:top w:val="nil"/>
              <w:left w:val="single" w:sz="18" w:space="0" w:color="auto"/>
              <w:bottom w:val="nil"/>
              <w:right w:val="single" w:sz="16" w:space="0" w:color="000000"/>
            </w:tcBorders>
            <w:shd w:val="clear" w:color="auto" w:fill="FFFFFF"/>
            <w:tcMar>
              <w:top w:w="30" w:type="dxa"/>
              <w:left w:w="30" w:type="dxa"/>
              <w:bottom w:w="30" w:type="dxa"/>
              <w:right w:w="30" w:type="dxa"/>
            </w:tcMar>
            <w:vAlign w:val="center"/>
          </w:tcPr>
          <w:p w14:paraId="45BB7254"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0.099</w:t>
            </w:r>
          </w:p>
        </w:tc>
      </w:tr>
      <w:tr w:rsidR="005E263E" w:rsidRPr="00AA32E1" w14:paraId="5DDAE767" w14:textId="77777777" w:rsidTr="00D25C9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DAD2B7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14:paraId="2768744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Budget Goal Clarity</w:t>
            </w:r>
          </w:p>
        </w:tc>
        <w:tc>
          <w:tcPr>
            <w:tcW w:w="850" w:type="dxa"/>
            <w:tcBorders>
              <w:top w:val="nil"/>
              <w:left w:val="single" w:sz="16" w:space="0" w:color="000000"/>
              <w:bottom w:val="nil"/>
              <w:right w:val="single" w:sz="18" w:space="0" w:color="auto"/>
            </w:tcBorders>
            <w:shd w:val="clear" w:color="auto" w:fill="FFFFFF"/>
            <w:tcMar>
              <w:top w:w="30" w:type="dxa"/>
              <w:left w:w="30" w:type="dxa"/>
              <w:bottom w:w="30" w:type="dxa"/>
              <w:right w:w="30" w:type="dxa"/>
            </w:tcMar>
            <w:vAlign w:val="center"/>
          </w:tcPr>
          <w:p w14:paraId="6D40B22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0.221</w:t>
            </w:r>
          </w:p>
        </w:tc>
        <w:tc>
          <w:tcPr>
            <w:tcW w:w="1843"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65FFB2D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0.110</w:t>
            </w:r>
          </w:p>
        </w:tc>
        <w:tc>
          <w:tcPr>
            <w:tcW w:w="2410" w:type="dxa"/>
            <w:gridSpan w:val="3"/>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1D7D14A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0.316</w:t>
            </w:r>
          </w:p>
        </w:tc>
        <w:tc>
          <w:tcPr>
            <w:tcW w:w="850" w:type="dxa"/>
            <w:tcBorders>
              <w:top w:val="nil"/>
              <w:left w:val="single" w:sz="18" w:space="0" w:color="auto"/>
              <w:bottom w:val="nil"/>
              <w:right w:val="single" w:sz="18" w:space="0" w:color="auto"/>
            </w:tcBorders>
            <w:shd w:val="clear" w:color="auto" w:fill="FFFFFF"/>
            <w:tcMar>
              <w:top w:w="30" w:type="dxa"/>
              <w:left w:w="30" w:type="dxa"/>
              <w:bottom w:w="30" w:type="dxa"/>
              <w:right w:w="30" w:type="dxa"/>
            </w:tcMar>
            <w:vAlign w:val="center"/>
          </w:tcPr>
          <w:p w14:paraId="628E6B76"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2.021</w:t>
            </w:r>
          </w:p>
        </w:tc>
        <w:tc>
          <w:tcPr>
            <w:tcW w:w="765" w:type="dxa"/>
            <w:tcBorders>
              <w:top w:val="nil"/>
              <w:left w:val="single" w:sz="18" w:space="0" w:color="auto"/>
              <w:bottom w:val="nil"/>
              <w:right w:val="single" w:sz="16" w:space="0" w:color="000000"/>
            </w:tcBorders>
            <w:shd w:val="clear" w:color="auto" w:fill="FFFFFF"/>
            <w:tcMar>
              <w:top w:w="30" w:type="dxa"/>
              <w:left w:w="30" w:type="dxa"/>
              <w:bottom w:w="30" w:type="dxa"/>
              <w:right w:w="30" w:type="dxa"/>
            </w:tcMar>
            <w:vAlign w:val="center"/>
          </w:tcPr>
          <w:p w14:paraId="0CBD866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0.047</w:t>
            </w:r>
          </w:p>
        </w:tc>
      </w:tr>
      <w:tr w:rsidR="005E263E" w:rsidRPr="00AA32E1" w14:paraId="53B9EAF9" w14:textId="77777777" w:rsidTr="00D25C9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EC322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p>
        </w:tc>
        <w:tc>
          <w:tcPr>
            <w:tcW w:w="1832" w:type="dxa"/>
            <w:tcBorders>
              <w:top w:val="nil"/>
              <w:left w:val="nil"/>
              <w:bottom w:val="single" w:sz="18" w:space="0" w:color="000000"/>
              <w:right w:val="single" w:sz="16" w:space="0" w:color="000000"/>
            </w:tcBorders>
            <w:shd w:val="clear" w:color="auto" w:fill="FFFFFF"/>
            <w:tcMar>
              <w:top w:w="30" w:type="dxa"/>
              <w:left w:w="30" w:type="dxa"/>
              <w:bottom w:w="30" w:type="dxa"/>
              <w:right w:w="30" w:type="dxa"/>
            </w:tcMar>
          </w:tcPr>
          <w:p w14:paraId="4D4D1D45"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Distribution Fairness</w:t>
            </w:r>
          </w:p>
        </w:tc>
        <w:tc>
          <w:tcPr>
            <w:tcW w:w="850" w:type="dxa"/>
            <w:tcBorders>
              <w:top w:val="nil"/>
              <w:left w:val="single" w:sz="16" w:space="0" w:color="000000"/>
              <w:bottom w:val="single" w:sz="18" w:space="0" w:color="000000"/>
              <w:right w:val="single" w:sz="18" w:space="0" w:color="auto"/>
            </w:tcBorders>
            <w:shd w:val="clear" w:color="auto" w:fill="FFFFFF"/>
            <w:tcMar>
              <w:top w:w="30" w:type="dxa"/>
              <w:left w:w="30" w:type="dxa"/>
              <w:bottom w:w="30" w:type="dxa"/>
              <w:right w:w="30" w:type="dxa"/>
            </w:tcMar>
            <w:vAlign w:val="center"/>
          </w:tcPr>
          <w:p w14:paraId="2268B9C2"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0.024</w:t>
            </w:r>
          </w:p>
        </w:tc>
        <w:tc>
          <w:tcPr>
            <w:tcW w:w="1843" w:type="dxa"/>
            <w:tcBorders>
              <w:top w:val="nil"/>
              <w:left w:val="single" w:sz="18" w:space="0" w:color="auto"/>
              <w:bottom w:val="single" w:sz="18" w:space="0" w:color="000000"/>
              <w:right w:val="single" w:sz="18" w:space="0" w:color="auto"/>
            </w:tcBorders>
            <w:shd w:val="clear" w:color="auto" w:fill="FFFFFF"/>
            <w:tcMar>
              <w:top w:w="30" w:type="dxa"/>
              <w:left w:w="30" w:type="dxa"/>
              <w:bottom w:w="30" w:type="dxa"/>
              <w:right w:w="30" w:type="dxa"/>
            </w:tcMar>
            <w:vAlign w:val="center"/>
          </w:tcPr>
          <w:p w14:paraId="26AB0B37"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0.084</w:t>
            </w:r>
          </w:p>
        </w:tc>
        <w:tc>
          <w:tcPr>
            <w:tcW w:w="2410" w:type="dxa"/>
            <w:gridSpan w:val="3"/>
            <w:tcBorders>
              <w:top w:val="nil"/>
              <w:left w:val="single" w:sz="18" w:space="0" w:color="auto"/>
              <w:bottom w:val="single" w:sz="18" w:space="0" w:color="000000"/>
              <w:right w:val="single" w:sz="18" w:space="0" w:color="auto"/>
            </w:tcBorders>
            <w:shd w:val="clear" w:color="auto" w:fill="FFFFFF"/>
            <w:tcMar>
              <w:top w:w="30" w:type="dxa"/>
              <w:left w:w="30" w:type="dxa"/>
              <w:bottom w:w="30" w:type="dxa"/>
              <w:right w:w="30" w:type="dxa"/>
            </w:tcMar>
            <w:vAlign w:val="center"/>
          </w:tcPr>
          <w:p w14:paraId="0AD9F841"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0.043</w:t>
            </w:r>
          </w:p>
        </w:tc>
        <w:tc>
          <w:tcPr>
            <w:tcW w:w="850" w:type="dxa"/>
            <w:tcBorders>
              <w:top w:val="nil"/>
              <w:left w:val="single" w:sz="18" w:space="0" w:color="auto"/>
              <w:bottom w:val="single" w:sz="18" w:space="0" w:color="000000"/>
              <w:right w:val="single" w:sz="18" w:space="0" w:color="auto"/>
            </w:tcBorders>
            <w:shd w:val="clear" w:color="auto" w:fill="FFFFFF"/>
            <w:tcMar>
              <w:top w:w="30" w:type="dxa"/>
              <w:left w:w="30" w:type="dxa"/>
              <w:bottom w:w="30" w:type="dxa"/>
              <w:right w:w="30" w:type="dxa"/>
            </w:tcMar>
            <w:vAlign w:val="center"/>
          </w:tcPr>
          <w:p w14:paraId="67157CB9"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0.286</w:t>
            </w:r>
          </w:p>
        </w:tc>
        <w:tc>
          <w:tcPr>
            <w:tcW w:w="765" w:type="dxa"/>
            <w:tcBorders>
              <w:top w:val="nil"/>
              <w:left w:val="single" w:sz="18" w:space="0" w:color="auto"/>
              <w:bottom w:val="single" w:sz="18" w:space="0" w:color="000000"/>
              <w:right w:val="single" w:sz="18" w:space="0" w:color="000000"/>
            </w:tcBorders>
            <w:shd w:val="clear" w:color="auto" w:fill="FFFFFF"/>
            <w:tcMar>
              <w:top w:w="30" w:type="dxa"/>
              <w:left w:w="30" w:type="dxa"/>
              <w:bottom w:w="30" w:type="dxa"/>
              <w:right w:w="30" w:type="dxa"/>
            </w:tcMar>
            <w:vAlign w:val="center"/>
          </w:tcPr>
          <w:p w14:paraId="3E5EBE5E" w14:textId="77777777" w:rsidR="005E263E" w:rsidRPr="00AA32E1"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0.776</w:t>
            </w:r>
          </w:p>
        </w:tc>
      </w:tr>
      <w:tr w:rsidR="005E263E" w:rsidRPr="00AA32E1" w14:paraId="74E34201" w14:textId="77777777" w:rsidTr="00D25C9C">
        <w:trPr>
          <w:gridAfter w:val="3"/>
          <w:wAfter w:w="2160" w:type="dxa"/>
          <w:cantSplit/>
        </w:trPr>
        <w:tc>
          <w:tcPr>
            <w:tcW w:w="5245" w:type="dxa"/>
            <w:gridSpan w:val="4"/>
            <w:tcBorders>
              <w:top w:val="nil"/>
              <w:left w:val="nil"/>
              <w:bottom w:val="nil"/>
              <w:right w:val="nil"/>
            </w:tcBorders>
            <w:shd w:val="clear" w:color="auto" w:fill="FFFFFF"/>
            <w:tcMar>
              <w:top w:w="30" w:type="dxa"/>
              <w:left w:w="30" w:type="dxa"/>
              <w:bottom w:w="30" w:type="dxa"/>
              <w:right w:w="30" w:type="dxa"/>
            </w:tcMar>
          </w:tcPr>
          <w:p w14:paraId="3704AB38" w14:textId="77777777" w:rsidR="005E263E" w:rsidRDefault="005E263E" w:rsidP="00D25C9C">
            <w:pPr>
              <w:keepNext/>
              <w:autoSpaceDE w:val="0"/>
              <w:autoSpaceDN w:val="0"/>
              <w:adjustRightInd w:val="0"/>
              <w:spacing w:after="0" w:line="240" w:lineRule="auto"/>
              <w:jc w:val="both"/>
              <w:rPr>
                <w:rFonts w:ascii="Calibri" w:hAnsi="Calibri" w:cs="Calibri"/>
                <w:color w:val="000000"/>
                <w:sz w:val="24"/>
                <w:szCs w:val="24"/>
              </w:rPr>
            </w:pPr>
            <w:r w:rsidRPr="00AA32E1">
              <w:rPr>
                <w:rFonts w:ascii="Calibri" w:hAnsi="Calibri" w:cs="Calibri"/>
                <w:color w:val="000000"/>
                <w:sz w:val="24"/>
                <w:szCs w:val="24"/>
              </w:rPr>
              <w:t>a. Dependent Variable: Commitment</w:t>
            </w:r>
          </w:p>
          <w:p w14:paraId="1E782F98" w14:textId="65382C34" w:rsidR="000905AA" w:rsidRPr="00AA32E1" w:rsidRDefault="000905AA" w:rsidP="00D25C9C">
            <w:pPr>
              <w:keepNext/>
              <w:autoSpaceDE w:val="0"/>
              <w:autoSpaceDN w:val="0"/>
              <w:adjustRightInd w:val="0"/>
              <w:spacing w:after="0" w:line="240" w:lineRule="auto"/>
              <w:jc w:val="both"/>
              <w:rPr>
                <w:rFonts w:ascii="Calibri" w:hAnsi="Calibri" w:cs="Calibri"/>
                <w:color w:val="000000"/>
                <w:sz w:val="24"/>
                <w:szCs w:val="24"/>
              </w:rPr>
            </w:pPr>
          </w:p>
        </w:tc>
        <w:tc>
          <w:tcPr>
            <w:tcW w:w="865" w:type="dxa"/>
            <w:tcBorders>
              <w:top w:val="nil"/>
              <w:left w:val="nil"/>
              <w:bottom w:val="nil"/>
              <w:right w:val="nil"/>
            </w:tcBorders>
            <w:shd w:val="clear" w:color="auto" w:fill="FFFFFF"/>
            <w:tcMar>
              <w:top w:w="30" w:type="dxa"/>
              <w:left w:w="30" w:type="dxa"/>
              <w:bottom w:w="30" w:type="dxa"/>
              <w:right w:w="30" w:type="dxa"/>
            </w:tcMar>
          </w:tcPr>
          <w:p w14:paraId="03C6AB98"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7B1A3BB" w14:textId="77777777" w:rsidR="005E263E" w:rsidRPr="00AA32E1" w:rsidRDefault="005E263E" w:rsidP="00D25C9C">
            <w:pPr>
              <w:keepNext/>
              <w:autoSpaceDE w:val="0"/>
              <w:autoSpaceDN w:val="0"/>
              <w:adjustRightInd w:val="0"/>
              <w:spacing w:after="0" w:line="240" w:lineRule="auto"/>
              <w:jc w:val="both"/>
              <w:rPr>
                <w:rFonts w:ascii="Calibri" w:hAnsi="Calibri" w:cs="Calibri"/>
                <w:sz w:val="24"/>
                <w:szCs w:val="24"/>
              </w:rPr>
            </w:pPr>
          </w:p>
        </w:tc>
      </w:tr>
    </w:tbl>
    <w:p w14:paraId="4D6810FB" w14:textId="77777777" w:rsidR="005E263E" w:rsidRPr="00AA32E1" w:rsidRDefault="005E263E" w:rsidP="005E263E">
      <w:pPr>
        <w:keepNext/>
        <w:spacing w:after="0" w:line="240" w:lineRule="auto"/>
        <w:ind w:firstLine="567"/>
        <w:jc w:val="both"/>
        <w:rPr>
          <w:rFonts w:ascii="Calibri" w:hAnsi="Calibri" w:cs="Calibri"/>
          <w:sz w:val="24"/>
          <w:szCs w:val="24"/>
        </w:rPr>
      </w:pPr>
      <w:r w:rsidRPr="00AA32E1">
        <w:rPr>
          <w:rFonts w:ascii="Calibri" w:hAnsi="Calibri" w:cs="Calibri"/>
          <w:sz w:val="24"/>
          <w:szCs w:val="24"/>
        </w:rPr>
        <w:t xml:space="preserve">The results show that (Adjusted R Square =0.217) which is 21.70% of the variance in employee commitment to budget goal is attributed to the combined effect of </w:t>
      </w:r>
      <w:proofErr w:type="spellStart"/>
      <w:r w:rsidRPr="00AA32E1">
        <w:rPr>
          <w:rFonts w:ascii="Calibri" w:hAnsi="Calibri" w:cs="Calibri"/>
          <w:sz w:val="24"/>
          <w:szCs w:val="24"/>
        </w:rPr>
        <w:t>behavioural</w:t>
      </w:r>
      <w:proofErr w:type="spellEnd"/>
      <w:r w:rsidRPr="00AA32E1">
        <w:rPr>
          <w:rFonts w:ascii="Calibri" w:hAnsi="Calibri" w:cs="Calibri"/>
          <w:sz w:val="24"/>
          <w:szCs w:val="24"/>
        </w:rPr>
        <w:t xml:space="preserve"> elements such as budget participation, budget goal clarity and perception of revenue distribution fairness (B=2.601, t=8.632, p=0.000). The statistically significant predictor of employee commitment to budget goal in the university is the clarity of budget goals (B=0.221, t=2.021, p&gt;0.047). This means that if employees participate in the budgeting process, they tend to be clear about the budget goal and been clear about the budget goal significantly predicts </w:t>
      </w:r>
      <w:proofErr w:type="gramStart"/>
      <w:r w:rsidRPr="00AA32E1">
        <w:rPr>
          <w:rFonts w:ascii="Calibri" w:hAnsi="Calibri" w:cs="Calibri"/>
          <w:sz w:val="24"/>
          <w:szCs w:val="24"/>
        </w:rPr>
        <w:t>employees</w:t>
      </w:r>
      <w:proofErr w:type="gramEnd"/>
      <w:r w:rsidRPr="00AA32E1">
        <w:rPr>
          <w:rFonts w:ascii="Calibri" w:hAnsi="Calibri" w:cs="Calibri"/>
          <w:sz w:val="24"/>
          <w:szCs w:val="24"/>
        </w:rPr>
        <w:t xml:space="preserve"> commitment to the goal. </w:t>
      </w:r>
    </w:p>
    <w:p w14:paraId="2C604753" w14:textId="77777777" w:rsidR="005E263E" w:rsidRPr="00AA32E1" w:rsidRDefault="005E263E" w:rsidP="005E263E">
      <w:pPr>
        <w:pStyle w:val="NoSpacing"/>
        <w:ind w:firstLine="567"/>
        <w:jc w:val="both"/>
        <w:rPr>
          <w:rFonts w:cs="Calibri"/>
          <w:sz w:val="24"/>
          <w:szCs w:val="24"/>
        </w:rPr>
      </w:pPr>
      <w:r w:rsidRPr="00AA32E1">
        <w:rPr>
          <w:rFonts w:cs="Calibri"/>
          <w:sz w:val="24"/>
          <w:szCs w:val="24"/>
        </w:rPr>
        <w:t>Looking at the findings of our study, it supports the claim by Charpentier (1998) who argued that budget participation enhances subordinates’ budget goal commitment which will eventually leads to attainment of the budget goal.   Though management of the university has created an environment through budget participation for employees to be committed to the departmental and university-budget goal in a bid to improve employees’ performance, more attention need to be paid by the Ghana Audit Service who audits the public institutions to get managers involve their employees in the budgeting process so that they can show more commitment in achieving the budget goal.</w:t>
      </w:r>
    </w:p>
    <w:p w14:paraId="049D0257" w14:textId="77777777" w:rsidR="005E263E" w:rsidRPr="00AA32E1" w:rsidRDefault="005E263E" w:rsidP="005E263E">
      <w:pPr>
        <w:pStyle w:val="Default"/>
        <w:keepNext/>
        <w:ind w:firstLine="567"/>
        <w:jc w:val="both"/>
        <w:rPr>
          <w:rFonts w:ascii="Calibri" w:hAnsi="Calibri" w:cs="Calibri"/>
          <w:color w:val="auto"/>
        </w:rPr>
      </w:pPr>
    </w:p>
    <w:p w14:paraId="166F6626" w14:textId="77777777" w:rsidR="005E263E" w:rsidRPr="00AA32E1" w:rsidRDefault="005E263E" w:rsidP="000905AA">
      <w:pPr>
        <w:keepNext/>
        <w:tabs>
          <w:tab w:val="left" w:pos="851"/>
          <w:tab w:val="left" w:pos="993"/>
        </w:tabs>
        <w:spacing w:after="60" w:line="240" w:lineRule="auto"/>
        <w:jc w:val="both"/>
        <w:rPr>
          <w:rFonts w:ascii="Calibri" w:hAnsi="Calibri" w:cs="Calibri"/>
          <w:b/>
          <w:sz w:val="24"/>
          <w:szCs w:val="24"/>
        </w:rPr>
      </w:pPr>
      <w:r w:rsidRPr="00AA32E1">
        <w:rPr>
          <w:rFonts w:ascii="Calibri" w:hAnsi="Calibri" w:cs="Calibri"/>
          <w:b/>
          <w:sz w:val="24"/>
          <w:szCs w:val="24"/>
        </w:rPr>
        <w:t>Conclusions</w:t>
      </w:r>
    </w:p>
    <w:p w14:paraId="4AAE8F87" w14:textId="77777777" w:rsidR="005E263E" w:rsidRPr="00AA32E1" w:rsidRDefault="005E263E" w:rsidP="005E263E">
      <w:pPr>
        <w:pStyle w:val="NoSpacing"/>
        <w:ind w:firstLine="567"/>
        <w:jc w:val="both"/>
        <w:rPr>
          <w:rFonts w:cs="Calibri"/>
          <w:sz w:val="24"/>
          <w:szCs w:val="24"/>
        </w:rPr>
      </w:pPr>
      <w:r w:rsidRPr="00AA32E1">
        <w:rPr>
          <w:rFonts w:cs="Calibri"/>
          <w:sz w:val="24"/>
          <w:szCs w:val="24"/>
        </w:rPr>
        <w:t xml:space="preserve">The main aim of this study is to assess the relationship between budget participation and employees’ performance and from our study, it is evident that the foundation of achieving budget goal is employee participation in the budgeting process since it is this foundation that will help employees to be clear about what the budget is meant, have a say by ensuring that resources are fairly distributed among departments and faculties of the </w:t>
      </w:r>
      <w:r w:rsidRPr="00AA32E1">
        <w:rPr>
          <w:rFonts w:cs="Calibri"/>
          <w:sz w:val="24"/>
          <w:szCs w:val="24"/>
        </w:rPr>
        <w:lastRenderedPageBreak/>
        <w:t xml:space="preserve">university and when this happens they tend to be committed to the budget goal which the end result will be attaining the goal of the budget ( improved employees performance).  From this it is clear we accept our null hypothesis that budget participation leads to budget goal clarity, perception of resource distribution fairness, goal commitment and </w:t>
      </w:r>
      <w:proofErr w:type="gramStart"/>
      <w:r w:rsidRPr="00AA32E1">
        <w:rPr>
          <w:rFonts w:cs="Calibri"/>
          <w:sz w:val="24"/>
          <w:szCs w:val="24"/>
        </w:rPr>
        <w:t>employees</w:t>
      </w:r>
      <w:proofErr w:type="gramEnd"/>
      <w:r w:rsidRPr="00AA32E1">
        <w:rPr>
          <w:rFonts w:cs="Calibri"/>
          <w:sz w:val="24"/>
          <w:szCs w:val="24"/>
        </w:rPr>
        <w:t xml:space="preserve"> performance.  Whilst we reject our alternative hypothesis, we cannot rule out completely the comments made by other writers from our literature review that budget participation does not necessarily lead to attainment of budget goal or improve employees’ performance.  This is based on the fact that the study clearly shows that though budget participation is the foundation to the other </w:t>
      </w:r>
      <w:proofErr w:type="spellStart"/>
      <w:r w:rsidRPr="00AA32E1">
        <w:rPr>
          <w:rFonts w:cs="Calibri"/>
          <w:sz w:val="24"/>
          <w:szCs w:val="24"/>
        </w:rPr>
        <w:t>behavioural</w:t>
      </w:r>
      <w:proofErr w:type="spellEnd"/>
      <w:r w:rsidRPr="00AA32E1">
        <w:rPr>
          <w:rFonts w:cs="Calibri"/>
          <w:sz w:val="24"/>
          <w:szCs w:val="24"/>
        </w:rPr>
        <w:t xml:space="preserve"> elements; none of the </w:t>
      </w:r>
      <w:proofErr w:type="spellStart"/>
      <w:r w:rsidRPr="00AA32E1">
        <w:rPr>
          <w:rFonts w:cs="Calibri"/>
          <w:sz w:val="24"/>
          <w:szCs w:val="24"/>
        </w:rPr>
        <w:t>behavioural</w:t>
      </w:r>
      <w:proofErr w:type="spellEnd"/>
      <w:r w:rsidRPr="00AA32E1">
        <w:rPr>
          <w:rFonts w:cs="Calibri"/>
          <w:sz w:val="24"/>
          <w:szCs w:val="24"/>
        </w:rPr>
        <w:t xml:space="preserve"> elements standing alone can help the university attain its budget goal. This means that if organizations allow employees to participate in their budgeting process, they also have to ensure that they manage the other </w:t>
      </w:r>
      <w:proofErr w:type="spellStart"/>
      <w:r w:rsidRPr="00AA32E1">
        <w:rPr>
          <w:rFonts w:cs="Calibri"/>
          <w:sz w:val="24"/>
          <w:szCs w:val="24"/>
        </w:rPr>
        <w:t>behavioural</w:t>
      </w:r>
      <w:proofErr w:type="spellEnd"/>
      <w:r w:rsidRPr="00AA32E1">
        <w:rPr>
          <w:rFonts w:cs="Calibri"/>
          <w:sz w:val="24"/>
          <w:szCs w:val="24"/>
        </w:rPr>
        <w:t xml:space="preserve"> elements very well by ensuring that employees through their participation are clear about the budget goal, give comments and inputs if they believe resources are not fairly distributed in the budget and also ensuring that employees are committed to achieving the budget goal.  If employees’ perceptions and actions towards any of these elements are negative, it will be very difficult for the organization to achieve its budget goal.</w:t>
      </w:r>
    </w:p>
    <w:p w14:paraId="25C51213" w14:textId="77777777" w:rsidR="005E263E" w:rsidRPr="00AA32E1" w:rsidRDefault="005E263E" w:rsidP="005E263E">
      <w:pPr>
        <w:pStyle w:val="Default"/>
        <w:keepNext/>
        <w:ind w:firstLine="567"/>
        <w:jc w:val="both"/>
        <w:rPr>
          <w:rFonts w:ascii="Calibri" w:hAnsi="Calibri" w:cs="Calibri"/>
          <w:color w:val="auto"/>
        </w:rPr>
      </w:pPr>
    </w:p>
    <w:p w14:paraId="14532930" w14:textId="13F511A6" w:rsidR="005E263E" w:rsidRPr="00AA32E1" w:rsidRDefault="005E263E" w:rsidP="000905AA">
      <w:pPr>
        <w:pStyle w:val="Default"/>
        <w:keepNext/>
        <w:tabs>
          <w:tab w:val="left" w:pos="851"/>
        </w:tabs>
        <w:spacing w:after="60"/>
        <w:jc w:val="both"/>
        <w:rPr>
          <w:rFonts w:ascii="Calibri" w:hAnsi="Calibri" w:cs="Calibri"/>
          <w:b/>
          <w:color w:val="auto"/>
        </w:rPr>
      </w:pPr>
      <w:r w:rsidRPr="00AA32E1">
        <w:rPr>
          <w:rFonts w:ascii="Calibri" w:hAnsi="Calibri" w:cs="Calibri"/>
          <w:b/>
          <w:color w:val="auto"/>
        </w:rPr>
        <w:t xml:space="preserve">Suggestion for </w:t>
      </w:r>
      <w:r w:rsidR="000905AA" w:rsidRPr="00AA32E1">
        <w:rPr>
          <w:rFonts w:ascii="Calibri" w:hAnsi="Calibri" w:cs="Calibri"/>
          <w:b/>
          <w:color w:val="auto"/>
        </w:rPr>
        <w:t>Further Studies</w:t>
      </w:r>
    </w:p>
    <w:p w14:paraId="555FD873"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rPr>
        <w:t>This research study has several strengths however in the course of this study the few constraints encountered call for suggestion for further studies in the following areas and these are:</w:t>
      </w:r>
    </w:p>
    <w:p w14:paraId="58FF8E97"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rPr>
        <w:t>1.  This study concentrated on only public universities with particular emphasis on one university (University of Education), future studies could explore more universities by looking at private universities.</w:t>
      </w:r>
    </w:p>
    <w:p w14:paraId="5F0E1663" w14:textId="77777777" w:rsidR="005E263E" w:rsidRPr="00AA32E1" w:rsidRDefault="005E263E" w:rsidP="005E263E">
      <w:pPr>
        <w:spacing w:after="0" w:line="240" w:lineRule="auto"/>
        <w:ind w:firstLine="567"/>
        <w:jc w:val="both"/>
        <w:rPr>
          <w:rFonts w:ascii="Calibri" w:hAnsi="Calibri" w:cs="Calibri"/>
          <w:sz w:val="24"/>
          <w:szCs w:val="24"/>
        </w:rPr>
      </w:pPr>
      <w:r w:rsidRPr="00AA32E1">
        <w:rPr>
          <w:rFonts w:ascii="Calibri" w:hAnsi="Calibri" w:cs="Calibri"/>
          <w:sz w:val="24"/>
          <w:szCs w:val="24"/>
        </w:rPr>
        <w:t xml:space="preserve">2.  The survey study carried out in this study </w:t>
      </w:r>
      <w:proofErr w:type="spellStart"/>
      <w:r w:rsidRPr="00AA32E1">
        <w:rPr>
          <w:rFonts w:ascii="Calibri" w:hAnsi="Calibri" w:cs="Calibri"/>
          <w:sz w:val="24"/>
          <w:szCs w:val="24"/>
        </w:rPr>
        <w:t>centred</w:t>
      </w:r>
      <w:proofErr w:type="spellEnd"/>
      <w:r w:rsidRPr="00AA32E1">
        <w:rPr>
          <w:rFonts w:ascii="Calibri" w:hAnsi="Calibri" w:cs="Calibri"/>
          <w:sz w:val="24"/>
          <w:szCs w:val="24"/>
        </w:rPr>
        <w:t xml:space="preserve"> on the opinions of Deans, Heads of Department, Coordinators and other supporting staff but future studies could be conducted to include the opinions of key management personnel such as Registrars, Directors of Finance, Vice Chancellors and other key officers in these public universities who play major role in the budgeting process of these universities.</w:t>
      </w:r>
    </w:p>
    <w:p w14:paraId="3A7DC482" w14:textId="77777777" w:rsidR="005E263E" w:rsidRPr="00AA32E1" w:rsidRDefault="005E263E" w:rsidP="005E263E">
      <w:pPr>
        <w:pStyle w:val="NoSpacing"/>
        <w:ind w:firstLine="567"/>
        <w:jc w:val="both"/>
        <w:rPr>
          <w:rFonts w:cs="Calibri"/>
          <w:sz w:val="24"/>
          <w:szCs w:val="24"/>
        </w:rPr>
      </w:pPr>
    </w:p>
    <w:p w14:paraId="05E88253" w14:textId="77777777" w:rsidR="005E263E" w:rsidRPr="00C97CF8" w:rsidRDefault="005E263E" w:rsidP="00C97CF8">
      <w:pPr>
        <w:spacing w:after="0" w:line="240" w:lineRule="auto"/>
        <w:ind w:left="567" w:hanging="567"/>
        <w:contextualSpacing/>
        <w:jc w:val="both"/>
        <w:rPr>
          <w:rFonts w:ascii="Calibri" w:hAnsi="Calibri" w:cs="Calibri"/>
          <w:b/>
          <w:bCs/>
          <w:sz w:val="24"/>
          <w:szCs w:val="24"/>
        </w:rPr>
      </w:pPr>
      <w:r w:rsidRPr="00C97CF8">
        <w:rPr>
          <w:rFonts w:ascii="Calibri" w:hAnsi="Calibri" w:cs="Calibri"/>
          <w:b/>
          <w:bCs/>
          <w:sz w:val="24"/>
          <w:szCs w:val="24"/>
        </w:rPr>
        <w:t>References</w:t>
      </w:r>
    </w:p>
    <w:p w14:paraId="43DC6E7D" w14:textId="042DD561" w:rsidR="005E263E" w:rsidRPr="00C97CF8" w:rsidRDefault="005E263E" w:rsidP="00C97CF8">
      <w:pPr>
        <w:spacing w:after="0" w:line="240" w:lineRule="auto"/>
        <w:ind w:left="567" w:hanging="567"/>
        <w:contextualSpacing/>
        <w:jc w:val="both"/>
        <w:rPr>
          <w:rFonts w:ascii="Calibri" w:hAnsi="Calibri" w:cs="Calibri"/>
          <w:sz w:val="24"/>
          <w:szCs w:val="24"/>
        </w:rPr>
      </w:pPr>
      <w:proofErr w:type="spellStart"/>
      <w:r w:rsidRPr="00C97CF8">
        <w:rPr>
          <w:rFonts w:ascii="Calibri" w:hAnsi="Calibri" w:cs="Calibri"/>
          <w:sz w:val="24"/>
          <w:szCs w:val="24"/>
        </w:rPr>
        <w:t>Altbach</w:t>
      </w:r>
      <w:proofErr w:type="spellEnd"/>
      <w:r w:rsidRPr="00C97CF8">
        <w:rPr>
          <w:rFonts w:ascii="Calibri" w:hAnsi="Calibri" w:cs="Calibri"/>
          <w:sz w:val="24"/>
          <w:szCs w:val="24"/>
        </w:rPr>
        <w:t>, P.</w:t>
      </w:r>
      <w:r w:rsidR="000905AA" w:rsidRPr="00C97CF8">
        <w:rPr>
          <w:rFonts w:ascii="Calibri" w:hAnsi="Calibri" w:cs="Calibri"/>
          <w:sz w:val="24"/>
          <w:szCs w:val="24"/>
        </w:rPr>
        <w:t xml:space="preserve"> </w:t>
      </w:r>
      <w:r w:rsidRPr="00C97CF8">
        <w:rPr>
          <w:rFonts w:ascii="Calibri" w:hAnsi="Calibri" w:cs="Calibri"/>
          <w:sz w:val="24"/>
          <w:szCs w:val="24"/>
        </w:rPr>
        <w:t>G.</w:t>
      </w:r>
      <w:r w:rsidR="000905AA" w:rsidRPr="00C97CF8">
        <w:rPr>
          <w:rFonts w:ascii="Calibri" w:hAnsi="Calibri" w:cs="Calibri"/>
          <w:sz w:val="24"/>
          <w:szCs w:val="24"/>
        </w:rPr>
        <w:t>,</w:t>
      </w:r>
      <w:r w:rsidRPr="00C97CF8">
        <w:rPr>
          <w:rFonts w:ascii="Calibri" w:hAnsi="Calibri" w:cs="Calibri"/>
          <w:sz w:val="24"/>
          <w:szCs w:val="24"/>
        </w:rPr>
        <w:t xml:space="preserve"> and Johnstone, D.</w:t>
      </w:r>
      <w:r w:rsidR="000905AA" w:rsidRPr="00C97CF8">
        <w:rPr>
          <w:rFonts w:ascii="Calibri" w:hAnsi="Calibri" w:cs="Calibri"/>
          <w:sz w:val="24"/>
          <w:szCs w:val="24"/>
        </w:rPr>
        <w:t xml:space="preserve"> </w:t>
      </w:r>
      <w:r w:rsidRPr="00C97CF8">
        <w:rPr>
          <w:rFonts w:ascii="Calibri" w:hAnsi="Calibri" w:cs="Calibri"/>
          <w:sz w:val="24"/>
          <w:szCs w:val="24"/>
        </w:rPr>
        <w:t>B. (1993). The Funding of Higher Education: International Perspectives, Garland Publishing, New York, NY.</w:t>
      </w:r>
    </w:p>
    <w:p w14:paraId="7A877E0F" w14:textId="77777777" w:rsidR="005E263E" w:rsidRPr="00C97CF8" w:rsidRDefault="005E263E" w:rsidP="00C97CF8">
      <w:pPr>
        <w:spacing w:after="0" w:line="240" w:lineRule="auto"/>
        <w:ind w:left="567" w:hanging="567"/>
        <w:contextualSpacing/>
        <w:jc w:val="both"/>
        <w:rPr>
          <w:rFonts w:ascii="Calibri" w:hAnsi="Calibri" w:cs="Calibri"/>
          <w:sz w:val="24"/>
          <w:szCs w:val="24"/>
        </w:rPr>
      </w:pPr>
      <w:proofErr w:type="spellStart"/>
      <w:r w:rsidRPr="00C97CF8">
        <w:rPr>
          <w:rFonts w:ascii="Calibri" w:hAnsi="Calibri" w:cs="Calibri"/>
          <w:sz w:val="24"/>
          <w:szCs w:val="24"/>
        </w:rPr>
        <w:t>Bognaes</w:t>
      </w:r>
      <w:proofErr w:type="spellEnd"/>
      <w:r w:rsidRPr="00C97CF8">
        <w:rPr>
          <w:rFonts w:ascii="Calibri" w:hAnsi="Calibri" w:cs="Calibri"/>
          <w:sz w:val="24"/>
          <w:szCs w:val="24"/>
        </w:rPr>
        <w:t>, B. (2009). Implementing Beyond Budgeting - Unlocking the Performance Potential. Wiley</w:t>
      </w:r>
    </w:p>
    <w:p w14:paraId="0A72009A" w14:textId="77777777" w:rsidR="000905AA"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Bonner</w:t>
      </w:r>
      <w:r w:rsidR="000905AA" w:rsidRPr="00C97CF8">
        <w:rPr>
          <w:rFonts w:ascii="Calibri" w:hAnsi="Calibri" w:cs="Calibri"/>
          <w:sz w:val="24"/>
          <w:szCs w:val="24"/>
        </w:rPr>
        <w:t>,</w:t>
      </w:r>
      <w:r w:rsidRPr="00C97CF8">
        <w:rPr>
          <w:rFonts w:ascii="Calibri" w:hAnsi="Calibri" w:cs="Calibri"/>
          <w:sz w:val="24"/>
          <w:szCs w:val="24"/>
        </w:rPr>
        <w:t xml:space="preserve"> E. S. (2008). Judgment and Decision Making in Accounting, Pearson Education Inc., Upper Saddle River, New Jersey.</w:t>
      </w:r>
    </w:p>
    <w:p w14:paraId="70665584" w14:textId="5D16ADFE"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Brownell, P. (1982). The role of accounting data in performance evaluation, budgetary participation, and organizational effectiveness. Journal of Accounting Research, Spring;</w:t>
      </w:r>
      <w:r w:rsidR="00C97CF8" w:rsidRPr="00C97CF8">
        <w:rPr>
          <w:rFonts w:ascii="Calibri" w:hAnsi="Calibri" w:cs="Calibri"/>
          <w:sz w:val="24"/>
          <w:szCs w:val="24"/>
        </w:rPr>
        <w:t xml:space="preserve"> </w:t>
      </w:r>
      <w:r w:rsidRPr="00C97CF8">
        <w:rPr>
          <w:rFonts w:ascii="Calibri" w:hAnsi="Calibri" w:cs="Calibri"/>
          <w:sz w:val="24"/>
          <w:szCs w:val="24"/>
        </w:rPr>
        <w:t>2-27.</w:t>
      </w:r>
    </w:p>
    <w:p w14:paraId="20EB8FE8"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 xml:space="preserve">Charpentier, C. (1998). Budgetary Participation in a Public Service </w:t>
      </w:r>
      <w:proofErr w:type="spellStart"/>
      <w:r w:rsidRPr="00C97CF8">
        <w:rPr>
          <w:rFonts w:ascii="Calibri" w:hAnsi="Calibri" w:cs="Calibri"/>
          <w:sz w:val="24"/>
          <w:szCs w:val="24"/>
        </w:rPr>
        <w:t>Organisation</w:t>
      </w:r>
      <w:proofErr w:type="spellEnd"/>
      <w:r w:rsidRPr="00C97CF8">
        <w:rPr>
          <w:rFonts w:ascii="Calibri" w:hAnsi="Calibri" w:cs="Calibri"/>
          <w:sz w:val="24"/>
          <w:szCs w:val="24"/>
        </w:rPr>
        <w:t>, Working Paper Series in Business Administration. 2009.</w:t>
      </w:r>
    </w:p>
    <w:p w14:paraId="07FC80F1" w14:textId="0209FA2C" w:rsidR="005E263E" w:rsidRPr="00C97CF8" w:rsidRDefault="005E263E" w:rsidP="00C97CF8">
      <w:pPr>
        <w:spacing w:after="0" w:line="240" w:lineRule="auto"/>
        <w:ind w:left="567" w:hanging="567"/>
        <w:contextualSpacing/>
        <w:jc w:val="both"/>
        <w:rPr>
          <w:rFonts w:ascii="Calibri" w:hAnsi="Calibri" w:cs="Calibri"/>
          <w:sz w:val="24"/>
          <w:szCs w:val="24"/>
        </w:rPr>
      </w:pPr>
      <w:proofErr w:type="spellStart"/>
      <w:r w:rsidRPr="00C97CF8">
        <w:rPr>
          <w:rFonts w:ascii="Calibri" w:hAnsi="Calibri" w:cs="Calibri"/>
          <w:sz w:val="24"/>
          <w:szCs w:val="24"/>
        </w:rPr>
        <w:t>Chenhall</w:t>
      </w:r>
      <w:proofErr w:type="spellEnd"/>
      <w:r w:rsidRPr="00C97CF8">
        <w:rPr>
          <w:rFonts w:ascii="Calibri" w:hAnsi="Calibri" w:cs="Calibri"/>
          <w:sz w:val="24"/>
          <w:szCs w:val="24"/>
        </w:rPr>
        <w:t>, R.</w:t>
      </w:r>
      <w:r w:rsidR="00C97CF8" w:rsidRPr="00C97CF8">
        <w:rPr>
          <w:rFonts w:ascii="Calibri" w:hAnsi="Calibri" w:cs="Calibri"/>
          <w:sz w:val="24"/>
          <w:szCs w:val="24"/>
        </w:rPr>
        <w:t>,</w:t>
      </w:r>
      <w:r w:rsidRPr="00C97CF8">
        <w:rPr>
          <w:rFonts w:ascii="Calibri" w:hAnsi="Calibri" w:cs="Calibri"/>
          <w:sz w:val="24"/>
          <w:szCs w:val="24"/>
        </w:rPr>
        <w:t xml:space="preserve"> and Brownell, P. (1988), The effect, of Participative Budgeting on Job Satisfaction and Performance: Role Ambiguity as an Intervening Variable, Accounting </w:t>
      </w:r>
      <w:proofErr w:type="spellStart"/>
      <w:r w:rsidRPr="00C97CF8">
        <w:rPr>
          <w:rFonts w:ascii="Calibri" w:hAnsi="Calibri" w:cs="Calibri"/>
          <w:sz w:val="24"/>
          <w:szCs w:val="24"/>
        </w:rPr>
        <w:t>Organisations</w:t>
      </w:r>
      <w:proofErr w:type="spellEnd"/>
      <w:r w:rsidRPr="00C97CF8">
        <w:rPr>
          <w:rFonts w:ascii="Calibri" w:hAnsi="Calibri" w:cs="Calibri"/>
          <w:sz w:val="24"/>
          <w:szCs w:val="24"/>
        </w:rPr>
        <w:t xml:space="preserve"> and Society; 13: 225-233.</w:t>
      </w:r>
    </w:p>
    <w:p w14:paraId="7CEB3FDD"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lastRenderedPageBreak/>
        <w:t>Cohen, R. L. (1987), “Distributive Justice: Theory and Research”, Social Justice Research; 1:19-40.</w:t>
      </w:r>
    </w:p>
    <w:p w14:paraId="67FE08D4" w14:textId="63022238"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David, R. G.</w:t>
      </w:r>
      <w:r w:rsidR="000905AA" w:rsidRPr="00C97CF8">
        <w:rPr>
          <w:rFonts w:ascii="Calibri" w:hAnsi="Calibri" w:cs="Calibri"/>
          <w:sz w:val="24"/>
          <w:szCs w:val="24"/>
        </w:rPr>
        <w:t>,</w:t>
      </w:r>
      <w:r w:rsidRPr="00C97CF8">
        <w:rPr>
          <w:rFonts w:ascii="Calibri" w:hAnsi="Calibri" w:cs="Calibri"/>
          <w:sz w:val="24"/>
          <w:szCs w:val="24"/>
        </w:rPr>
        <w:t xml:space="preserve"> and Bart de </w:t>
      </w:r>
      <w:proofErr w:type="spellStart"/>
      <w:r w:rsidRPr="00C97CF8">
        <w:rPr>
          <w:rFonts w:ascii="Calibri" w:hAnsi="Calibri" w:cs="Calibri"/>
          <w:sz w:val="24"/>
          <w:szCs w:val="24"/>
        </w:rPr>
        <w:t>Gouw</w:t>
      </w:r>
      <w:proofErr w:type="spellEnd"/>
      <w:r w:rsidRPr="00C97CF8">
        <w:rPr>
          <w:rFonts w:ascii="Calibri" w:hAnsi="Calibri" w:cs="Calibri"/>
          <w:sz w:val="24"/>
          <w:szCs w:val="24"/>
        </w:rPr>
        <w:t xml:space="preserve"> (1997). Budgetary response attitudes in a university environment, International Journal of Educational Management; 11/4 179–186.</w:t>
      </w:r>
    </w:p>
    <w:p w14:paraId="17A59D7C"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Dunk, A. S. (1993). The Effect of Budget Emphasis and Information Asymmetry on the Relation between Budgetary Participation and Slack. The Accounting Review; 68(2):400-411.</w:t>
      </w:r>
    </w:p>
    <w:p w14:paraId="47976A2D"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Gilliland, S. W. (1993), “The Perceived Fairness of Selection Systems: An Organizational Justice Perspective,” Academy of Management Review Vol. 18 (4), pp. 694-734. New York: Plenum Press. JAMAR Vol. 5 Number. 1, 2007 pp.57,</w:t>
      </w:r>
    </w:p>
    <w:p w14:paraId="16D108CE"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 xml:space="preserve">Hopwood, A. G. (1974). Leadership Climate and the Use of Accounting Data </w:t>
      </w:r>
      <w:proofErr w:type="gramStart"/>
      <w:r w:rsidRPr="00C97CF8">
        <w:rPr>
          <w:rFonts w:ascii="Calibri" w:hAnsi="Calibri" w:cs="Calibri"/>
          <w:sz w:val="24"/>
          <w:szCs w:val="24"/>
        </w:rPr>
        <w:t>In</w:t>
      </w:r>
      <w:proofErr w:type="gramEnd"/>
      <w:r w:rsidRPr="00C97CF8">
        <w:rPr>
          <w:rFonts w:ascii="Calibri" w:hAnsi="Calibri" w:cs="Calibri"/>
          <w:sz w:val="24"/>
          <w:szCs w:val="24"/>
        </w:rPr>
        <w:t xml:space="preserve"> Performance Evaluation. The Accounting Review 49(3): 485-493.</w:t>
      </w:r>
    </w:p>
    <w:p w14:paraId="6C4B931C" w14:textId="4655C20C"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Jones, D.</w:t>
      </w:r>
      <w:r w:rsidR="000905AA" w:rsidRPr="00C97CF8">
        <w:rPr>
          <w:rFonts w:ascii="Calibri" w:hAnsi="Calibri" w:cs="Calibri"/>
          <w:sz w:val="24"/>
          <w:szCs w:val="24"/>
        </w:rPr>
        <w:t xml:space="preserve"> </w:t>
      </w:r>
      <w:r w:rsidRPr="00C97CF8">
        <w:rPr>
          <w:rFonts w:ascii="Calibri" w:hAnsi="Calibri" w:cs="Calibri"/>
          <w:sz w:val="24"/>
          <w:szCs w:val="24"/>
        </w:rPr>
        <w:t>C. (2001</w:t>
      </w:r>
      <w:proofErr w:type="gramStart"/>
      <w:r w:rsidRPr="00C97CF8">
        <w:rPr>
          <w:rFonts w:ascii="Calibri" w:hAnsi="Calibri" w:cs="Calibri"/>
          <w:sz w:val="24"/>
          <w:szCs w:val="24"/>
        </w:rPr>
        <w:t>) .The</w:t>
      </w:r>
      <w:proofErr w:type="gramEnd"/>
      <w:r w:rsidRPr="00C97CF8">
        <w:rPr>
          <w:rFonts w:ascii="Calibri" w:hAnsi="Calibri" w:cs="Calibri"/>
          <w:sz w:val="24"/>
          <w:szCs w:val="24"/>
        </w:rPr>
        <w:t xml:space="preserve"> productivity effects of worker directors and financial participation by employees in the firm: the case of British retail co-operatives</w:t>
      </w:r>
    </w:p>
    <w:p w14:paraId="2A5795EE" w14:textId="77777777" w:rsidR="005E263E" w:rsidRPr="00C97CF8" w:rsidRDefault="005E263E" w:rsidP="00C97CF8">
      <w:pPr>
        <w:spacing w:after="0" w:line="240" w:lineRule="auto"/>
        <w:ind w:left="567" w:hanging="567"/>
        <w:contextualSpacing/>
        <w:jc w:val="both"/>
        <w:rPr>
          <w:rFonts w:ascii="Calibri" w:hAnsi="Calibri" w:cs="Calibri"/>
          <w:sz w:val="24"/>
          <w:szCs w:val="24"/>
        </w:rPr>
      </w:pPr>
      <w:proofErr w:type="spellStart"/>
      <w:r w:rsidRPr="00C97CF8">
        <w:rPr>
          <w:rFonts w:ascii="Calibri" w:hAnsi="Calibri" w:cs="Calibri"/>
          <w:sz w:val="24"/>
          <w:szCs w:val="24"/>
        </w:rPr>
        <w:t>Kenis</w:t>
      </w:r>
      <w:proofErr w:type="spellEnd"/>
      <w:r w:rsidRPr="00C97CF8">
        <w:rPr>
          <w:rFonts w:ascii="Calibri" w:hAnsi="Calibri" w:cs="Calibri"/>
          <w:sz w:val="24"/>
          <w:szCs w:val="24"/>
        </w:rPr>
        <w:t>, I. (1979). “Effects of Budgetary Goal Characteristics on Managerial Attitudes and Performance”. The Accounting Review, October; 54(4): 707-721.</w:t>
      </w:r>
    </w:p>
    <w:p w14:paraId="7D1F8F91" w14:textId="77777777" w:rsidR="005E263E" w:rsidRPr="00C97CF8" w:rsidRDefault="005E263E" w:rsidP="00C97CF8">
      <w:pPr>
        <w:spacing w:after="0" w:line="240" w:lineRule="auto"/>
        <w:ind w:left="567" w:hanging="567"/>
        <w:contextualSpacing/>
        <w:jc w:val="both"/>
        <w:rPr>
          <w:rFonts w:ascii="Calibri" w:hAnsi="Calibri" w:cs="Calibri"/>
          <w:sz w:val="24"/>
          <w:szCs w:val="24"/>
        </w:rPr>
      </w:pPr>
      <w:proofErr w:type="spellStart"/>
      <w:r w:rsidRPr="00C97CF8">
        <w:rPr>
          <w:rFonts w:ascii="Calibri" w:hAnsi="Calibri" w:cs="Calibri"/>
          <w:sz w:val="24"/>
          <w:szCs w:val="24"/>
        </w:rPr>
        <w:t>Kren</w:t>
      </w:r>
      <w:proofErr w:type="spellEnd"/>
      <w:r w:rsidRPr="00C97CF8">
        <w:rPr>
          <w:rFonts w:ascii="Calibri" w:hAnsi="Calibri" w:cs="Calibri"/>
          <w:sz w:val="24"/>
          <w:szCs w:val="24"/>
        </w:rPr>
        <w:t xml:space="preserve">, L. (1992), “Budgetary Participation and Managerial Performance: </w:t>
      </w:r>
      <w:proofErr w:type="gramStart"/>
      <w:r w:rsidRPr="00C97CF8">
        <w:rPr>
          <w:rFonts w:ascii="Calibri" w:hAnsi="Calibri" w:cs="Calibri"/>
          <w:sz w:val="24"/>
          <w:szCs w:val="24"/>
        </w:rPr>
        <w:t>the</w:t>
      </w:r>
      <w:proofErr w:type="gramEnd"/>
      <w:r w:rsidRPr="00C97CF8">
        <w:rPr>
          <w:rFonts w:ascii="Calibri" w:hAnsi="Calibri" w:cs="Calibri"/>
          <w:sz w:val="24"/>
          <w:szCs w:val="24"/>
        </w:rPr>
        <w:t xml:space="preserve"> Impact of Information and Environmental Volatility”, The Accounting Review, July, 67(3): 511-26. [186]</w:t>
      </w:r>
    </w:p>
    <w:p w14:paraId="3ED3B226" w14:textId="77777777" w:rsidR="005E263E" w:rsidRPr="00C97CF8" w:rsidRDefault="005E263E" w:rsidP="00C97CF8">
      <w:pPr>
        <w:spacing w:after="0" w:line="240" w:lineRule="auto"/>
        <w:ind w:left="567" w:hanging="567"/>
        <w:contextualSpacing/>
        <w:jc w:val="both"/>
        <w:rPr>
          <w:rFonts w:ascii="Calibri" w:hAnsi="Calibri" w:cs="Calibri"/>
          <w:sz w:val="24"/>
          <w:szCs w:val="24"/>
        </w:rPr>
      </w:pPr>
      <w:proofErr w:type="spellStart"/>
      <w:r w:rsidRPr="00C97CF8">
        <w:rPr>
          <w:rFonts w:ascii="Calibri" w:hAnsi="Calibri" w:cs="Calibri"/>
          <w:sz w:val="24"/>
          <w:szCs w:val="24"/>
        </w:rPr>
        <w:t>Levanthal</w:t>
      </w:r>
      <w:proofErr w:type="spellEnd"/>
      <w:r w:rsidRPr="00C97CF8">
        <w:rPr>
          <w:rFonts w:ascii="Calibri" w:hAnsi="Calibri" w:cs="Calibri"/>
          <w:sz w:val="24"/>
          <w:szCs w:val="24"/>
        </w:rPr>
        <w:t xml:space="preserve">, G. S. (1980), What should be Done with Equity Theory? In K. J. </w:t>
      </w:r>
      <w:proofErr w:type="spellStart"/>
      <w:r w:rsidRPr="00C97CF8">
        <w:rPr>
          <w:rFonts w:ascii="Calibri" w:hAnsi="Calibri" w:cs="Calibri"/>
          <w:sz w:val="24"/>
          <w:szCs w:val="24"/>
        </w:rPr>
        <w:t>Gergen</w:t>
      </w:r>
      <w:proofErr w:type="spellEnd"/>
      <w:r w:rsidRPr="00C97CF8">
        <w:rPr>
          <w:rFonts w:ascii="Calibri" w:hAnsi="Calibri" w:cs="Calibri"/>
          <w:sz w:val="24"/>
          <w:szCs w:val="24"/>
        </w:rPr>
        <w:t>, M. S. Greenberg and R. H. Willis (Eds), Social exchange: Advances in theory and research; 27-55.</w:t>
      </w:r>
    </w:p>
    <w:p w14:paraId="5A663B0A" w14:textId="5118FAAE"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Lin &amp; Chang</w:t>
      </w:r>
      <w:r w:rsidR="000905AA" w:rsidRPr="00C97CF8">
        <w:rPr>
          <w:rFonts w:ascii="Calibri" w:hAnsi="Calibri" w:cs="Calibri"/>
          <w:sz w:val="24"/>
          <w:szCs w:val="24"/>
        </w:rPr>
        <w:t>.</w:t>
      </w:r>
      <w:r w:rsidRPr="00C97CF8">
        <w:rPr>
          <w:rFonts w:ascii="Calibri" w:hAnsi="Calibri" w:cs="Calibri"/>
          <w:sz w:val="24"/>
          <w:szCs w:val="24"/>
        </w:rPr>
        <w:t xml:space="preserve"> (2005). Goal orientation and </w:t>
      </w:r>
      <w:proofErr w:type="spellStart"/>
      <w:r w:rsidRPr="00C97CF8">
        <w:rPr>
          <w:rFonts w:ascii="Calibri" w:hAnsi="Calibri" w:cs="Calibri"/>
          <w:sz w:val="24"/>
          <w:szCs w:val="24"/>
        </w:rPr>
        <w:t>Organisational</w:t>
      </w:r>
      <w:proofErr w:type="spellEnd"/>
      <w:r w:rsidRPr="00C97CF8">
        <w:rPr>
          <w:rFonts w:ascii="Calibri" w:hAnsi="Calibri" w:cs="Calibri"/>
          <w:sz w:val="24"/>
          <w:szCs w:val="24"/>
        </w:rPr>
        <w:t xml:space="preserve"> commitment as explanatory factors of employee mobility. Personnel Review 34(2): 282 -291.</w:t>
      </w:r>
    </w:p>
    <w:p w14:paraId="1EF3C34E" w14:textId="750161FC"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Lind, E. A.</w:t>
      </w:r>
      <w:r w:rsidR="000905AA" w:rsidRPr="00C97CF8">
        <w:rPr>
          <w:rFonts w:ascii="Calibri" w:hAnsi="Calibri" w:cs="Calibri"/>
          <w:sz w:val="24"/>
          <w:szCs w:val="24"/>
        </w:rPr>
        <w:t>,</w:t>
      </w:r>
      <w:r w:rsidRPr="00C97CF8">
        <w:rPr>
          <w:rFonts w:ascii="Calibri" w:hAnsi="Calibri" w:cs="Calibri"/>
          <w:sz w:val="24"/>
          <w:szCs w:val="24"/>
        </w:rPr>
        <w:t xml:space="preserve"> and Tyler, T. R. (1988). The Social Psychology of Procedural Justice. New York: Plenum Press.</w:t>
      </w:r>
    </w:p>
    <w:p w14:paraId="0898448E" w14:textId="048B7482"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 xml:space="preserve">Locke, E. A., Shaw, K. N., </w:t>
      </w:r>
      <w:proofErr w:type="spellStart"/>
      <w:r w:rsidRPr="00C97CF8">
        <w:rPr>
          <w:rFonts w:ascii="Calibri" w:hAnsi="Calibri" w:cs="Calibri"/>
          <w:sz w:val="24"/>
          <w:szCs w:val="24"/>
        </w:rPr>
        <w:t>Saari</w:t>
      </w:r>
      <w:proofErr w:type="spellEnd"/>
      <w:r w:rsidRPr="00C97CF8">
        <w:rPr>
          <w:rFonts w:ascii="Calibri" w:hAnsi="Calibri" w:cs="Calibri"/>
          <w:sz w:val="24"/>
          <w:szCs w:val="24"/>
        </w:rPr>
        <w:t>, L. M.</w:t>
      </w:r>
      <w:r w:rsidR="000905AA" w:rsidRPr="00C97CF8">
        <w:rPr>
          <w:rFonts w:ascii="Calibri" w:hAnsi="Calibri" w:cs="Calibri"/>
          <w:sz w:val="24"/>
          <w:szCs w:val="24"/>
        </w:rPr>
        <w:t>,</w:t>
      </w:r>
      <w:r w:rsidRPr="00C97CF8">
        <w:rPr>
          <w:rFonts w:ascii="Calibri" w:hAnsi="Calibri" w:cs="Calibri"/>
          <w:sz w:val="24"/>
          <w:szCs w:val="24"/>
        </w:rPr>
        <w:t xml:space="preserve"> and Latham</w:t>
      </w:r>
      <w:r w:rsidR="000905AA" w:rsidRPr="00C97CF8">
        <w:rPr>
          <w:rFonts w:ascii="Calibri" w:hAnsi="Calibri" w:cs="Calibri"/>
          <w:sz w:val="24"/>
          <w:szCs w:val="24"/>
        </w:rPr>
        <w:t>,</w:t>
      </w:r>
      <w:r w:rsidRPr="00C97CF8">
        <w:rPr>
          <w:rFonts w:ascii="Calibri" w:hAnsi="Calibri" w:cs="Calibri"/>
          <w:sz w:val="24"/>
          <w:szCs w:val="24"/>
        </w:rPr>
        <w:t xml:space="preserve"> G. P. (1981), “Goal Setting and Task Performance”. Psychological Bulletin; 125-152.</w:t>
      </w:r>
    </w:p>
    <w:p w14:paraId="69B80FF8"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 xml:space="preserve">Mai, L. (1988),” Managerial Attitude, Motivation, and the Effectiveness of Budget Participation, Accounting </w:t>
      </w:r>
      <w:proofErr w:type="spellStart"/>
      <w:r w:rsidRPr="00C97CF8">
        <w:rPr>
          <w:rFonts w:ascii="Calibri" w:hAnsi="Calibri" w:cs="Calibri"/>
          <w:sz w:val="24"/>
          <w:szCs w:val="24"/>
        </w:rPr>
        <w:t>Organisations</w:t>
      </w:r>
      <w:proofErr w:type="spellEnd"/>
      <w:r w:rsidRPr="00C97CF8">
        <w:rPr>
          <w:rFonts w:ascii="Calibri" w:hAnsi="Calibri" w:cs="Calibri"/>
          <w:sz w:val="24"/>
          <w:szCs w:val="24"/>
        </w:rPr>
        <w:t xml:space="preserve"> and Society”. 13: 65-475.</w:t>
      </w:r>
    </w:p>
    <w:p w14:paraId="55499C05"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Milani, K. (1975). “The Relationship of Participation in Budget-Setting to Industrial Supervisor Performance and Attitudes” - A Field Study. The Accounting Review; 50(2): 274-288.</w:t>
      </w:r>
    </w:p>
    <w:p w14:paraId="2AC92168" w14:textId="104DC7A9"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Neely, A., Sutcliff, M.</w:t>
      </w:r>
      <w:r w:rsidR="000905AA" w:rsidRPr="00C97CF8">
        <w:rPr>
          <w:rFonts w:ascii="Calibri" w:hAnsi="Calibri" w:cs="Calibri"/>
          <w:sz w:val="24"/>
          <w:szCs w:val="24"/>
        </w:rPr>
        <w:t xml:space="preserve"> </w:t>
      </w:r>
      <w:r w:rsidRPr="00C97CF8">
        <w:rPr>
          <w:rFonts w:ascii="Calibri" w:hAnsi="Calibri" w:cs="Calibri"/>
          <w:sz w:val="24"/>
          <w:szCs w:val="24"/>
        </w:rPr>
        <w:t>R.</w:t>
      </w:r>
      <w:r w:rsidR="000905AA" w:rsidRPr="00C97CF8">
        <w:rPr>
          <w:rFonts w:ascii="Calibri" w:hAnsi="Calibri" w:cs="Calibri"/>
          <w:sz w:val="24"/>
          <w:szCs w:val="24"/>
        </w:rPr>
        <w:t>,</w:t>
      </w:r>
      <w:r w:rsidRPr="00C97CF8">
        <w:rPr>
          <w:rFonts w:ascii="Calibri" w:hAnsi="Calibri" w:cs="Calibri"/>
          <w:sz w:val="24"/>
          <w:szCs w:val="24"/>
        </w:rPr>
        <w:t xml:space="preserve"> and </w:t>
      </w:r>
      <w:proofErr w:type="spellStart"/>
      <w:r w:rsidRPr="00C97CF8">
        <w:rPr>
          <w:rFonts w:ascii="Calibri" w:hAnsi="Calibri" w:cs="Calibri"/>
          <w:sz w:val="24"/>
          <w:szCs w:val="24"/>
        </w:rPr>
        <w:t>Heyns</w:t>
      </w:r>
      <w:proofErr w:type="spellEnd"/>
      <w:r w:rsidR="000905AA" w:rsidRPr="00C97CF8">
        <w:rPr>
          <w:rFonts w:ascii="Calibri" w:hAnsi="Calibri" w:cs="Calibri"/>
          <w:sz w:val="24"/>
          <w:szCs w:val="24"/>
        </w:rPr>
        <w:t>, H. R</w:t>
      </w:r>
      <w:r w:rsidRPr="00C97CF8">
        <w:rPr>
          <w:rFonts w:ascii="Calibri" w:hAnsi="Calibri" w:cs="Calibri"/>
          <w:sz w:val="24"/>
          <w:szCs w:val="24"/>
        </w:rPr>
        <w:t>. (2001). Driving Value through Strategic Planning and Budgeting. New York, NY: Accenture.</w:t>
      </w:r>
    </w:p>
    <w:p w14:paraId="01135AA4" w14:textId="60700E6E"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Nouri, H.</w:t>
      </w:r>
      <w:r w:rsidR="000905AA" w:rsidRPr="00C97CF8">
        <w:rPr>
          <w:rFonts w:ascii="Calibri" w:hAnsi="Calibri" w:cs="Calibri"/>
          <w:sz w:val="24"/>
          <w:szCs w:val="24"/>
        </w:rPr>
        <w:t>,</w:t>
      </w:r>
      <w:r w:rsidRPr="00C97CF8">
        <w:rPr>
          <w:rFonts w:ascii="Calibri" w:hAnsi="Calibri" w:cs="Calibri"/>
          <w:sz w:val="24"/>
          <w:szCs w:val="24"/>
        </w:rPr>
        <w:t xml:space="preserve"> and Parker, R. (1998). The Relationship between Budget Participation and Job Performance: The Roles of Budget Adequacy and </w:t>
      </w:r>
      <w:proofErr w:type="spellStart"/>
      <w:r w:rsidRPr="00C97CF8">
        <w:rPr>
          <w:rFonts w:ascii="Calibri" w:hAnsi="Calibri" w:cs="Calibri"/>
          <w:sz w:val="24"/>
          <w:szCs w:val="24"/>
        </w:rPr>
        <w:t>Organisational</w:t>
      </w:r>
      <w:proofErr w:type="spellEnd"/>
      <w:r w:rsidRPr="00C97CF8">
        <w:rPr>
          <w:rFonts w:ascii="Calibri" w:hAnsi="Calibri" w:cs="Calibri"/>
          <w:sz w:val="24"/>
          <w:szCs w:val="24"/>
        </w:rPr>
        <w:t xml:space="preserve"> Commitment. Accounting, </w:t>
      </w:r>
      <w:proofErr w:type="spellStart"/>
      <w:r w:rsidRPr="00C97CF8">
        <w:rPr>
          <w:rFonts w:ascii="Calibri" w:hAnsi="Calibri" w:cs="Calibri"/>
          <w:sz w:val="24"/>
          <w:szCs w:val="24"/>
        </w:rPr>
        <w:t>Organisations</w:t>
      </w:r>
      <w:proofErr w:type="spellEnd"/>
      <w:r w:rsidRPr="00C97CF8">
        <w:rPr>
          <w:rFonts w:ascii="Calibri" w:hAnsi="Calibri" w:cs="Calibri"/>
          <w:sz w:val="24"/>
          <w:szCs w:val="24"/>
        </w:rPr>
        <w:t xml:space="preserve"> and Society; 23(5-6):467-483. </w:t>
      </w:r>
    </w:p>
    <w:p w14:paraId="5E890078" w14:textId="27576FFD"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Petry, J.</w:t>
      </w:r>
      <w:r w:rsidR="000905AA" w:rsidRPr="00C97CF8">
        <w:rPr>
          <w:rFonts w:ascii="Calibri" w:hAnsi="Calibri" w:cs="Calibri"/>
          <w:sz w:val="24"/>
          <w:szCs w:val="24"/>
        </w:rPr>
        <w:t xml:space="preserve"> </w:t>
      </w:r>
      <w:r w:rsidRPr="00C97CF8">
        <w:rPr>
          <w:rFonts w:ascii="Calibri" w:hAnsi="Calibri" w:cs="Calibri"/>
          <w:sz w:val="24"/>
          <w:szCs w:val="24"/>
        </w:rPr>
        <w:t>R.</w:t>
      </w:r>
      <w:r w:rsidR="000905AA" w:rsidRPr="00C97CF8">
        <w:rPr>
          <w:rFonts w:ascii="Calibri" w:hAnsi="Calibri" w:cs="Calibri"/>
          <w:sz w:val="24"/>
          <w:szCs w:val="24"/>
        </w:rPr>
        <w:t>,</w:t>
      </w:r>
      <w:r w:rsidRPr="00C97CF8">
        <w:rPr>
          <w:rFonts w:ascii="Calibri" w:hAnsi="Calibri" w:cs="Calibri"/>
          <w:sz w:val="24"/>
          <w:szCs w:val="24"/>
        </w:rPr>
        <w:t xml:space="preserve"> and Kenney, G.</w:t>
      </w:r>
      <w:r w:rsidR="000905AA" w:rsidRPr="00C97CF8">
        <w:rPr>
          <w:rFonts w:ascii="Calibri" w:hAnsi="Calibri" w:cs="Calibri"/>
          <w:sz w:val="24"/>
          <w:szCs w:val="24"/>
        </w:rPr>
        <w:t xml:space="preserve"> </w:t>
      </w:r>
      <w:r w:rsidRPr="00C97CF8">
        <w:rPr>
          <w:rFonts w:ascii="Calibri" w:hAnsi="Calibri" w:cs="Calibri"/>
          <w:sz w:val="24"/>
          <w:szCs w:val="24"/>
        </w:rPr>
        <w:t>E. (1991), “The impact on higher education: funding shortfalls and their impact on policy making in the 1990s”, unpublished conference paper presented at Annual Meeting of the American Educational Studies Association, Kansas, MO, 24 October, 1-18.</w:t>
      </w:r>
    </w:p>
    <w:p w14:paraId="48E3F2F5" w14:textId="2ED2E55A"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Reid, S</w:t>
      </w:r>
      <w:r w:rsidR="000905AA" w:rsidRPr="00C97CF8">
        <w:rPr>
          <w:rFonts w:ascii="Calibri" w:hAnsi="Calibri" w:cs="Calibri"/>
          <w:sz w:val="24"/>
          <w:szCs w:val="24"/>
        </w:rPr>
        <w:t>.</w:t>
      </w:r>
      <w:r w:rsidRPr="00C97CF8">
        <w:rPr>
          <w:rFonts w:ascii="Calibri" w:hAnsi="Calibri" w:cs="Calibri"/>
          <w:sz w:val="24"/>
          <w:szCs w:val="24"/>
        </w:rPr>
        <w:t xml:space="preserve"> (2002). A critical evaluation of the effect of participation in budget target setting of motivation. Managerial Auditing Journal; 17(3): 98-101.</w:t>
      </w:r>
    </w:p>
    <w:p w14:paraId="6BEC6D81" w14:textId="017CE110"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 xml:space="preserve">Shah, A. (2007), Public Sector Governance and Accountability Series: Participatory Budgeting, The International Bank for Reconstruction and Development/The World Bank, Washington. </w:t>
      </w:r>
    </w:p>
    <w:p w14:paraId="6831D929" w14:textId="547401FB"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Shields, J. F.</w:t>
      </w:r>
      <w:r w:rsidR="000905AA" w:rsidRPr="00C97CF8">
        <w:rPr>
          <w:rFonts w:ascii="Calibri" w:hAnsi="Calibri" w:cs="Calibri"/>
          <w:sz w:val="24"/>
          <w:szCs w:val="24"/>
        </w:rPr>
        <w:t>,</w:t>
      </w:r>
      <w:r w:rsidRPr="00C97CF8">
        <w:rPr>
          <w:rFonts w:ascii="Calibri" w:hAnsi="Calibri" w:cs="Calibri"/>
          <w:sz w:val="24"/>
          <w:szCs w:val="24"/>
        </w:rPr>
        <w:t xml:space="preserve"> and Shields, M. D. (1998). Antecedents of Participative Budgeting. Accounting, </w:t>
      </w:r>
      <w:proofErr w:type="spellStart"/>
      <w:r w:rsidRPr="00C97CF8">
        <w:rPr>
          <w:rFonts w:ascii="Calibri" w:hAnsi="Calibri" w:cs="Calibri"/>
          <w:sz w:val="24"/>
          <w:szCs w:val="24"/>
        </w:rPr>
        <w:t>Organisations</w:t>
      </w:r>
      <w:proofErr w:type="spellEnd"/>
      <w:r w:rsidRPr="00C97CF8">
        <w:rPr>
          <w:rFonts w:ascii="Calibri" w:hAnsi="Calibri" w:cs="Calibri"/>
          <w:sz w:val="24"/>
          <w:szCs w:val="24"/>
        </w:rPr>
        <w:t xml:space="preserve"> and Society; 23(1):49-76. </w:t>
      </w:r>
    </w:p>
    <w:p w14:paraId="5B64D7EE" w14:textId="13020AB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lastRenderedPageBreak/>
        <w:t>Topper</w:t>
      </w:r>
      <w:r w:rsidR="000905AA" w:rsidRPr="00C97CF8">
        <w:rPr>
          <w:rFonts w:ascii="Calibri" w:hAnsi="Calibri" w:cs="Calibri"/>
          <w:sz w:val="24"/>
          <w:szCs w:val="24"/>
        </w:rPr>
        <w:t xml:space="preserve">. </w:t>
      </w:r>
      <w:r w:rsidRPr="00C97CF8">
        <w:rPr>
          <w:rFonts w:ascii="Calibri" w:hAnsi="Calibri" w:cs="Calibri"/>
          <w:sz w:val="24"/>
          <w:szCs w:val="24"/>
        </w:rPr>
        <w:t>(2007).  Supervisor’s attitude and employee’s performance. New Library Word. 108 (9-10): 54- 66.</w:t>
      </w:r>
    </w:p>
    <w:p w14:paraId="46BC9DBA"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Wallander, J. (1999). Budgeting – an unnecessary evil. Scandinavian Journal of Management, vol.15,</w:t>
      </w:r>
    </w:p>
    <w:p w14:paraId="4CFBC15C" w14:textId="77777777" w:rsidR="005E263E" w:rsidRPr="00C97CF8" w:rsidRDefault="005E263E" w:rsidP="00C97CF8">
      <w:pPr>
        <w:spacing w:after="0" w:line="240" w:lineRule="auto"/>
        <w:ind w:left="567" w:hanging="567"/>
        <w:contextualSpacing/>
        <w:jc w:val="both"/>
        <w:rPr>
          <w:rFonts w:ascii="Calibri" w:hAnsi="Calibri" w:cs="Calibri"/>
          <w:sz w:val="24"/>
          <w:szCs w:val="24"/>
        </w:rPr>
      </w:pPr>
      <w:r w:rsidRPr="00C97CF8">
        <w:rPr>
          <w:rFonts w:ascii="Calibri" w:hAnsi="Calibri" w:cs="Calibri"/>
          <w:sz w:val="24"/>
          <w:szCs w:val="24"/>
        </w:rPr>
        <w:t xml:space="preserve">Wentzel, K. (2002), “The Influence of Fairness Perceptions and Goal Commitment on Managers’ Performance in a Budget Setting”, </w:t>
      </w:r>
      <w:proofErr w:type="spellStart"/>
      <w:r w:rsidRPr="00C97CF8">
        <w:rPr>
          <w:rFonts w:ascii="Calibri" w:hAnsi="Calibri" w:cs="Calibri"/>
          <w:sz w:val="24"/>
          <w:szCs w:val="24"/>
        </w:rPr>
        <w:t>Behavioural</w:t>
      </w:r>
      <w:proofErr w:type="spellEnd"/>
      <w:r w:rsidRPr="00C97CF8">
        <w:rPr>
          <w:rFonts w:ascii="Calibri" w:hAnsi="Calibri" w:cs="Calibri"/>
          <w:sz w:val="24"/>
          <w:szCs w:val="24"/>
        </w:rPr>
        <w:t xml:space="preserve"> Research in Accounting.14: 247-271.</w:t>
      </w:r>
    </w:p>
    <w:p w14:paraId="7135C9A0" w14:textId="77777777" w:rsidR="005E263E" w:rsidRPr="00C97CF8" w:rsidRDefault="005E263E" w:rsidP="00C97CF8">
      <w:pPr>
        <w:spacing w:after="0" w:line="240" w:lineRule="auto"/>
        <w:ind w:left="567" w:hanging="567"/>
        <w:contextualSpacing/>
        <w:jc w:val="both"/>
        <w:rPr>
          <w:rFonts w:ascii="Calibri" w:hAnsi="Calibri" w:cs="Calibri"/>
          <w:sz w:val="24"/>
          <w:szCs w:val="24"/>
        </w:rPr>
      </w:pPr>
    </w:p>
    <w:p w14:paraId="498FBE69" w14:textId="77777777" w:rsidR="004528B5" w:rsidRPr="00C97CF8" w:rsidRDefault="004528B5" w:rsidP="00C97CF8">
      <w:pPr>
        <w:spacing w:after="0" w:line="240" w:lineRule="auto"/>
        <w:ind w:left="567" w:hanging="567"/>
        <w:contextualSpacing/>
        <w:jc w:val="both"/>
        <w:rPr>
          <w:rFonts w:ascii="Calibri" w:hAnsi="Calibri" w:cs="Calibri"/>
          <w:sz w:val="24"/>
          <w:szCs w:val="24"/>
        </w:rPr>
      </w:pPr>
    </w:p>
    <w:p w14:paraId="2A8898FD" w14:textId="77777777" w:rsidR="004528B5" w:rsidRPr="00C97CF8" w:rsidRDefault="004528B5" w:rsidP="00C97CF8">
      <w:pPr>
        <w:spacing w:after="0" w:line="240" w:lineRule="auto"/>
        <w:ind w:left="567" w:hanging="567"/>
        <w:contextualSpacing/>
        <w:jc w:val="both"/>
        <w:rPr>
          <w:rFonts w:ascii="Calibri" w:hAnsi="Calibri" w:cs="Calibri"/>
          <w:sz w:val="24"/>
          <w:szCs w:val="24"/>
        </w:rPr>
      </w:pPr>
    </w:p>
    <w:sectPr w:rsidR="004528B5" w:rsidRPr="00C97CF8" w:rsidSect="004B31AD">
      <w:headerReference w:type="default" r:id="rId11"/>
      <w:footerReference w:type="default" r:id="rId12"/>
      <w:pgSz w:w="11906" w:h="16838" w:code="9"/>
      <w:pgMar w:top="1440" w:right="1440" w:bottom="1440" w:left="1440" w:header="720" w:footer="720" w:gutter="0"/>
      <w:pgNumType w:start="12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B49CB" w14:textId="77777777" w:rsidR="002C49F4" w:rsidRDefault="002C49F4" w:rsidP="0011697D">
      <w:pPr>
        <w:spacing w:after="0" w:line="240" w:lineRule="auto"/>
      </w:pPr>
      <w:r>
        <w:separator/>
      </w:r>
    </w:p>
  </w:endnote>
  <w:endnote w:type="continuationSeparator" w:id="0">
    <w:p w14:paraId="3C1383B0" w14:textId="77777777" w:rsidR="002C49F4" w:rsidRDefault="002C49F4"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CG Omega">
    <w:altName w:val="Arial Unicode MS"/>
    <w:panose1 w:val="00000000000000000000"/>
    <w:charset w:val="86"/>
    <w:family w:val="swiss"/>
    <w:notTrueType/>
    <w:pitch w:val="default"/>
    <w:sig w:usb0="00000001" w:usb1="080E0000" w:usb2="00000010" w:usb3="00000000" w:csb0="00040000" w:csb1="00000000"/>
  </w:font>
  <w:font w:name="Roboto">
    <w:altName w:val="Roboto"/>
    <w:panose1 w:val="02000000000000000000"/>
    <w:charset w:val="00"/>
    <w:family w:val="auto"/>
    <w:pitch w:val="variable"/>
    <w:sig w:usb0="E00002FF" w:usb1="5000205B" w:usb2="00000020" w:usb3="00000000" w:csb0="0000019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214110"/>
      <w:docPartObj>
        <w:docPartGallery w:val="Page Numbers (Bottom of Page)"/>
        <w:docPartUnique/>
      </w:docPartObj>
    </w:sdtPr>
    <w:sdtEndPr>
      <w:rPr>
        <w:noProof/>
      </w:rPr>
    </w:sdtEndPr>
    <w:sdtContent>
      <w:p w14:paraId="59AC34B5" w14:textId="3EAADCB8" w:rsidR="0060047C" w:rsidRDefault="00600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760C6" w14:textId="77777777" w:rsidR="002C49F4" w:rsidRDefault="002C49F4" w:rsidP="0011697D">
      <w:pPr>
        <w:spacing w:after="0" w:line="240" w:lineRule="auto"/>
      </w:pPr>
      <w:r>
        <w:separator/>
      </w:r>
    </w:p>
  </w:footnote>
  <w:footnote w:type="continuationSeparator" w:id="0">
    <w:p w14:paraId="21FC5813" w14:textId="77777777" w:rsidR="002C49F4" w:rsidRDefault="002C49F4"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0093" w14:textId="77777777" w:rsidR="0060047C" w:rsidRDefault="0060047C" w:rsidP="002C3F39">
    <w:pPr>
      <w:widowControl w:val="0"/>
      <w:autoSpaceDE w:val="0"/>
      <w:autoSpaceDN w:val="0"/>
      <w:adjustRightInd w:val="0"/>
      <w:spacing w:after="0" w:line="240" w:lineRule="auto"/>
      <w:rPr>
        <w:rFonts w:ascii="Castellar" w:hAnsi="Castellar" w:cs="Arial"/>
        <w:i/>
        <w:iCs/>
        <w:color w:val="1F3864" w:themeColor="accent1" w:themeShade="80"/>
        <w:sz w:val="21"/>
        <w:szCs w:val="21"/>
        <w:shd w:val="clear" w:color="auto" w:fill="FFFFFF"/>
      </w:rPr>
    </w:pPr>
    <w:r>
      <w:rPr>
        <w:rFonts w:ascii="Castellar" w:hAnsi="Castellar" w:cs="Arial"/>
        <w:b/>
        <w:bCs/>
        <w:color w:val="1F3864" w:themeColor="accent1" w:themeShade="80"/>
        <w:spacing w:val="-6"/>
        <w:w w:val="85"/>
        <w:sz w:val="21"/>
        <w:szCs w:val="21"/>
        <w:lang w:val="en-GB"/>
      </w:rPr>
      <w:t xml:space="preserve">INTERNATIONAL JOURNAL OF ACADEMIC RESEARCH IN </w:t>
    </w:r>
    <w:r>
      <w:rPr>
        <w:rFonts w:ascii="Castellar" w:hAnsi="Castellar" w:cs="Arial"/>
        <w:b/>
        <w:bCs/>
        <w:color w:val="1F3864" w:themeColor="accent1" w:themeShade="80"/>
        <w:sz w:val="21"/>
        <w:szCs w:val="21"/>
        <w:shd w:val="clear" w:color="auto" w:fill="FFFFFF"/>
      </w:rPr>
      <w:t>ACCOUNTING, FINANCE AND MANAGEMENT SCIENCES</w:t>
    </w:r>
    <w:r>
      <w:rPr>
        <w:rFonts w:ascii="Castellar" w:hAnsi="Castellar" w:cs="Arial"/>
        <w:i/>
        <w:iCs/>
        <w:color w:val="1F3864" w:themeColor="accent1" w:themeShade="80"/>
        <w:sz w:val="21"/>
        <w:szCs w:val="21"/>
        <w:shd w:val="clear" w:color="auto" w:fill="FFFFFF"/>
      </w:rPr>
      <w:t xml:space="preserve"> </w:t>
    </w:r>
  </w:p>
  <w:p w14:paraId="4B44F420" w14:textId="7A93FE64" w:rsidR="0060047C" w:rsidRDefault="0060047C" w:rsidP="002C3F39">
    <w:pPr>
      <w:pStyle w:val="Header"/>
      <w:rPr>
        <w:b/>
        <w:bCs/>
        <w:sz w:val="16"/>
        <w:szCs w:val="16"/>
        <w:lang w:val="en-GB" w:eastAsia="pl-PL"/>
      </w:rPr>
    </w:pPr>
    <w:r>
      <w:rPr>
        <w:b/>
        <w:bCs/>
        <w:color w:val="1F3864" w:themeColor="accent1" w:themeShade="80"/>
        <w:spacing w:val="-18"/>
        <w:sz w:val="16"/>
        <w:szCs w:val="16"/>
        <w:lang w:val="en-GB" w:eastAsia="pl-PL"/>
      </w:rPr>
      <w:t xml:space="preserve"> </w:t>
    </w:r>
    <w:r>
      <w:rPr>
        <w:b/>
        <w:bCs/>
        <w:spacing w:val="-18"/>
        <w:sz w:val="16"/>
        <w:szCs w:val="16"/>
        <w:lang w:val="en-GB" w:eastAsia="pl-PL"/>
      </w:rPr>
      <w:t>V</w:t>
    </w:r>
    <w:r>
      <w:rPr>
        <w:b/>
        <w:bCs/>
        <w:sz w:val="16"/>
        <w:szCs w:val="16"/>
        <w:lang w:val="en-GB" w:eastAsia="pl-PL"/>
      </w:rPr>
      <w:t>ol.</w:t>
    </w:r>
    <w:r>
      <w:rPr>
        <w:b/>
        <w:bCs/>
        <w:spacing w:val="22"/>
        <w:sz w:val="16"/>
        <w:szCs w:val="16"/>
        <w:lang w:val="en-GB" w:eastAsia="pl-PL"/>
      </w:rPr>
      <w:t xml:space="preserve"> 4</w:t>
    </w:r>
    <w:r>
      <w:rPr>
        <w:b/>
        <w:bCs/>
        <w:sz w:val="16"/>
        <w:szCs w:val="16"/>
        <w:lang w:val="en-GB" w:eastAsia="pl-PL"/>
      </w:rPr>
      <w:t>,</w:t>
    </w:r>
    <w:r>
      <w:rPr>
        <w:b/>
        <w:bCs/>
        <w:spacing w:val="11"/>
        <w:sz w:val="16"/>
        <w:szCs w:val="16"/>
        <w:lang w:val="en-GB" w:eastAsia="pl-PL"/>
      </w:rPr>
      <w:t xml:space="preserve"> </w:t>
    </w:r>
    <w:r>
      <w:rPr>
        <w:b/>
        <w:bCs/>
        <w:sz w:val="16"/>
        <w:szCs w:val="16"/>
        <w:lang w:val="en-GB" w:eastAsia="pl-PL"/>
      </w:rPr>
      <w:t>No. 1, 2014,</w:t>
    </w:r>
    <w:r>
      <w:rPr>
        <w:b/>
        <w:bCs/>
        <w:spacing w:val="8"/>
        <w:sz w:val="16"/>
        <w:szCs w:val="16"/>
        <w:lang w:val="en-GB" w:eastAsia="pl-PL"/>
      </w:rPr>
      <w:t xml:space="preserve"> </w:t>
    </w:r>
    <w:r>
      <w:rPr>
        <w:b/>
        <w:bCs/>
        <w:position w:val="1"/>
        <w:sz w:val="16"/>
        <w:szCs w:val="16"/>
        <w:lang w:val="en-GB" w:eastAsia="pl-PL"/>
      </w:rPr>
      <w:t>E-ISSN:</w:t>
    </w:r>
    <w:r>
      <w:rPr>
        <w:b/>
        <w:bCs/>
        <w:spacing w:val="17"/>
        <w:position w:val="1"/>
        <w:sz w:val="16"/>
        <w:szCs w:val="16"/>
        <w:lang w:val="en-GB" w:eastAsia="pl-PL"/>
      </w:rPr>
      <w:t xml:space="preserve"> 2225</w:t>
    </w:r>
    <w:r>
      <w:rPr>
        <w:b/>
        <w:bCs/>
        <w:position w:val="1"/>
        <w:sz w:val="16"/>
        <w:szCs w:val="16"/>
        <w:lang w:val="en-GB" w:eastAsia="pl-PL"/>
      </w:rPr>
      <w:t xml:space="preserve">-8329 </w:t>
    </w:r>
    <w:r>
      <w:rPr>
        <w:b/>
        <w:bCs/>
        <w:sz w:val="16"/>
        <w:szCs w:val="16"/>
        <w:lang w:val="en-GB" w:eastAsia="pl-PL"/>
      </w:rPr>
      <w:t>© 2014 HRMARS</w:t>
    </w:r>
  </w:p>
  <w:p w14:paraId="32B5631D" w14:textId="77777777" w:rsidR="0060047C" w:rsidRPr="002C3F39" w:rsidRDefault="0060047C" w:rsidP="002C3F39">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B5B50"/>
    <w:multiLevelType w:val="hybridMultilevel"/>
    <w:tmpl w:val="8912ED1C"/>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2"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3" w15:restartNumberingAfterBreak="0">
    <w:nsid w:val="34B96211"/>
    <w:multiLevelType w:val="hybridMultilevel"/>
    <w:tmpl w:val="81343996"/>
    <w:lvl w:ilvl="0" w:tplc="B6242144">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5EEB394D"/>
    <w:multiLevelType w:val="hybridMultilevel"/>
    <w:tmpl w:val="DD3600A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D9E1B88"/>
    <w:multiLevelType w:val="multilevel"/>
    <w:tmpl w:val="D8A82D5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7"/>
  </w:num>
  <w:num w:numId="4">
    <w:abstractNumId w:val="4"/>
  </w:num>
  <w:num w:numId="5">
    <w:abstractNumId w:val="6"/>
  </w:num>
  <w:num w:numId="6">
    <w:abstractNumId w:val="5"/>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kwNKwFAKRXQhotAAAA"/>
  </w:docVars>
  <w:rsids>
    <w:rsidRoot w:val="00317C65"/>
    <w:rsid w:val="000026E9"/>
    <w:rsid w:val="000070D7"/>
    <w:rsid w:val="00011BFB"/>
    <w:rsid w:val="00016176"/>
    <w:rsid w:val="0002004E"/>
    <w:rsid w:val="00021346"/>
    <w:rsid w:val="0002322D"/>
    <w:rsid w:val="00024AD5"/>
    <w:rsid w:val="00024D24"/>
    <w:rsid w:val="00026B6F"/>
    <w:rsid w:val="00031EE0"/>
    <w:rsid w:val="00034C73"/>
    <w:rsid w:val="00042752"/>
    <w:rsid w:val="00044564"/>
    <w:rsid w:val="00044DAF"/>
    <w:rsid w:val="00052616"/>
    <w:rsid w:val="00055FD7"/>
    <w:rsid w:val="00056133"/>
    <w:rsid w:val="00065B8E"/>
    <w:rsid w:val="000739B9"/>
    <w:rsid w:val="0008239F"/>
    <w:rsid w:val="00084457"/>
    <w:rsid w:val="000905AA"/>
    <w:rsid w:val="00090A5D"/>
    <w:rsid w:val="00091C5F"/>
    <w:rsid w:val="00094F81"/>
    <w:rsid w:val="00095560"/>
    <w:rsid w:val="000A0E17"/>
    <w:rsid w:val="000B6048"/>
    <w:rsid w:val="000C1EC8"/>
    <w:rsid w:val="000C6EF8"/>
    <w:rsid w:val="000D130B"/>
    <w:rsid w:val="000D286E"/>
    <w:rsid w:val="000D3E09"/>
    <w:rsid w:val="000D5498"/>
    <w:rsid w:val="000D5610"/>
    <w:rsid w:val="000D69D8"/>
    <w:rsid w:val="000F0EDD"/>
    <w:rsid w:val="000F2AD3"/>
    <w:rsid w:val="000F5AD1"/>
    <w:rsid w:val="000F62AA"/>
    <w:rsid w:val="000F67D3"/>
    <w:rsid w:val="001019E7"/>
    <w:rsid w:val="001139FB"/>
    <w:rsid w:val="0011697D"/>
    <w:rsid w:val="001172FE"/>
    <w:rsid w:val="0011735E"/>
    <w:rsid w:val="00120227"/>
    <w:rsid w:val="00120A76"/>
    <w:rsid w:val="00125012"/>
    <w:rsid w:val="00131146"/>
    <w:rsid w:val="001319F4"/>
    <w:rsid w:val="001329B1"/>
    <w:rsid w:val="00132AAC"/>
    <w:rsid w:val="001354CD"/>
    <w:rsid w:val="00136701"/>
    <w:rsid w:val="00136ABF"/>
    <w:rsid w:val="00141192"/>
    <w:rsid w:val="0014471E"/>
    <w:rsid w:val="001452AB"/>
    <w:rsid w:val="00156A84"/>
    <w:rsid w:val="0015787D"/>
    <w:rsid w:val="001620B4"/>
    <w:rsid w:val="00170665"/>
    <w:rsid w:val="00171692"/>
    <w:rsid w:val="0017484A"/>
    <w:rsid w:val="0017774D"/>
    <w:rsid w:val="00191A3F"/>
    <w:rsid w:val="001929D9"/>
    <w:rsid w:val="0019639D"/>
    <w:rsid w:val="0019703D"/>
    <w:rsid w:val="001A1611"/>
    <w:rsid w:val="001A26D7"/>
    <w:rsid w:val="001A62E2"/>
    <w:rsid w:val="001A6319"/>
    <w:rsid w:val="001B209E"/>
    <w:rsid w:val="001B535D"/>
    <w:rsid w:val="001C281D"/>
    <w:rsid w:val="001C5253"/>
    <w:rsid w:val="001D07F7"/>
    <w:rsid w:val="001D2D12"/>
    <w:rsid w:val="001F178C"/>
    <w:rsid w:val="001F53F6"/>
    <w:rsid w:val="001F6664"/>
    <w:rsid w:val="00201A0A"/>
    <w:rsid w:val="002021E9"/>
    <w:rsid w:val="0020783B"/>
    <w:rsid w:val="00211C25"/>
    <w:rsid w:val="00212190"/>
    <w:rsid w:val="00214D97"/>
    <w:rsid w:val="002208F9"/>
    <w:rsid w:val="002227A5"/>
    <w:rsid w:val="00223294"/>
    <w:rsid w:val="00224365"/>
    <w:rsid w:val="0022547D"/>
    <w:rsid w:val="00236A05"/>
    <w:rsid w:val="002378B6"/>
    <w:rsid w:val="00241237"/>
    <w:rsid w:val="00246119"/>
    <w:rsid w:val="00246DB7"/>
    <w:rsid w:val="002475F0"/>
    <w:rsid w:val="00253136"/>
    <w:rsid w:val="00256B95"/>
    <w:rsid w:val="002604BA"/>
    <w:rsid w:val="00260F0C"/>
    <w:rsid w:val="0026193C"/>
    <w:rsid w:val="00264DFF"/>
    <w:rsid w:val="00266097"/>
    <w:rsid w:val="002667A7"/>
    <w:rsid w:val="002768CF"/>
    <w:rsid w:val="00280293"/>
    <w:rsid w:val="00284A7C"/>
    <w:rsid w:val="00284FDE"/>
    <w:rsid w:val="00287DDB"/>
    <w:rsid w:val="00294916"/>
    <w:rsid w:val="00297162"/>
    <w:rsid w:val="002971F9"/>
    <w:rsid w:val="002A4E1F"/>
    <w:rsid w:val="002A59FE"/>
    <w:rsid w:val="002A79A2"/>
    <w:rsid w:val="002B4951"/>
    <w:rsid w:val="002C0101"/>
    <w:rsid w:val="002C27A0"/>
    <w:rsid w:val="002C3F39"/>
    <w:rsid w:val="002C49F4"/>
    <w:rsid w:val="002D04E4"/>
    <w:rsid w:val="002D0DD6"/>
    <w:rsid w:val="002F6304"/>
    <w:rsid w:val="00300310"/>
    <w:rsid w:val="00303F44"/>
    <w:rsid w:val="0030638C"/>
    <w:rsid w:val="00310A68"/>
    <w:rsid w:val="003115A9"/>
    <w:rsid w:val="0031474D"/>
    <w:rsid w:val="00316574"/>
    <w:rsid w:val="00317643"/>
    <w:rsid w:val="00317C65"/>
    <w:rsid w:val="00321B95"/>
    <w:rsid w:val="00333636"/>
    <w:rsid w:val="003406FB"/>
    <w:rsid w:val="00342134"/>
    <w:rsid w:val="00343E98"/>
    <w:rsid w:val="00344C9D"/>
    <w:rsid w:val="003502CB"/>
    <w:rsid w:val="00352793"/>
    <w:rsid w:val="003609DB"/>
    <w:rsid w:val="00361BB5"/>
    <w:rsid w:val="0036389B"/>
    <w:rsid w:val="00366605"/>
    <w:rsid w:val="00371DAE"/>
    <w:rsid w:val="00373E27"/>
    <w:rsid w:val="00375F03"/>
    <w:rsid w:val="00381DF1"/>
    <w:rsid w:val="00381E9C"/>
    <w:rsid w:val="003833A3"/>
    <w:rsid w:val="003861B3"/>
    <w:rsid w:val="00391097"/>
    <w:rsid w:val="0039382D"/>
    <w:rsid w:val="003A47DB"/>
    <w:rsid w:val="003B0E8F"/>
    <w:rsid w:val="003B365D"/>
    <w:rsid w:val="003B54AD"/>
    <w:rsid w:val="003C2D3E"/>
    <w:rsid w:val="003C338D"/>
    <w:rsid w:val="003D04E8"/>
    <w:rsid w:val="003D2949"/>
    <w:rsid w:val="003D38AA"/>
    <w:rsid w:val="003D503A"/>
    <w:rsid w:val="003E0FD0"/>
    <w:rsid w:val="003E396B"/>
    <w:rsid w:val="003E513F"/>
    <w:rsid w:val="003E7AED"/>
    <w:rsid w:val="003E7B34"/>
    <w:rsid w:val="003F4B12"/>
    <w:rsid w:val="003F688B"/>
    <w:rsid w:val="004039CB"/>
    <w:rsid w:val="00405A55"/>
    <w:rsid w:val="00405E10"/>
    <w:rsid w:val="00406A0A"/>
    <w:rsid w:val="00421E99"/>
    <w:rsid w:val="00426F70"/>
    <w:rsid w:val="00432943"/>
    <w:rsid w:val="004329B5"/>
    <w:rsid w:val="004335FA"/>
    <w:rsid w:val="0043407C"/>
    <w:rsid w:val="00442C77"/>
    <w:rsid w:val="00450383"/>
    <w:rsid w:val="00450732"/>
    <w:rsid w:val="00450CF4"/>
    <w:rsid w:val="004528B5"/>
    <w:rsid w:val="0045627D"/>
    <w:rsid w:val="00456FEC"/>
    <w:rsid w:val="0046476E"/>
    <w:rsid w:val="00476482"/>
    <w:rsid w:val="004831FC"/>
    <w:rsid w:val="0048722A"/>
    <w:rsid w:val="00493AB1"/>
    <w:rsid w:val="00494068"/>
    <w:rsid w:val="004A31E6"/>
    <w:rsid w:val="004B0AF2"/>
    <w:rsid w:val="004B2990"/>
    <w:rsid w:val="004B31AD"/>
    <w:rsid w:val="004B4226"/>
    <w:rsid w:val="004B6BD3"/>
    <w:rsid w:val="004C3BCD"/>
    <w:rsid w:val="004C6351"/>
    <w:rsid w:val="004C7151"/>
    <w:rsid w:val="004D026F"/>
    <w:rsid w:val="004D0BB2"/>
    <w:rsid w:val="004D23BF"/>
    <w:rsid w:val="004D77F0"/>
    <w:rsid w:val="004E1427"/>
    <w:rsid w:val="004E42E1"/>
    <w:rsid w:val="004E5A70"/>
    <w:rsid w:val="004F3CE7"/>
    <w:rsid w:val="004F6E67"/>
    <w:rsid w:val="005016DE"/>
    <w:rsid w:val="00510893"/>
    <w:rsid w:val="00512CA6"/>
    <w:rsid w:val="00516DC6"/>
    <w:rsid w:val="005174B4"/>
    <w:rsid w:val="00522838"/>
    <w:rsid w:val="00524ABE"/>
    <w:rsid w:val="00527917"/>
    <w:rsid w:val="005329B7"/>
    <w:rsid w:val="0053523B"/>
    <w:rsid w:val="00536F03"/>
    <w:rsid w:val="0053762C"/>
    <w:rsid w:val="00545BD5"/>
    <w:rsid w:val="00546821"/>
    <w:rsid w:val="00550C43"/>
    <w:rsid w:val="00552EEE"/>
    <w:rsid w:val="0055369F"/>
    <w:rsid w:val="00563168"/>
    <w:rsid w:val="005670A5"/>
    <w:rsid w:val="00571936"/>
    <w:rsid w:val="00573D52"/>
    <w:rsid w:val="005823EC"/>
    <w:rsid w:val="00582EE3"/>
    <w:rsid w:val="00590CE5"/>
    <w:rsid w:val="00592E70"/>
    <w:rsid w:val="005A1950"/>
    <w:rsid w:val="005A3A0A"/>
    <w:rsid w:val="005A3F3A"/>
    <w:rsid w:val="005A601A"/>
    <w:rsid w:val="005B1631"/>
    <w:rsid w:val="005B27C5"/>
    <w:rsid w:val="005D074D"/>
    <w:rsid w:val="005D54E8"/>
    <w:rsid w:val="005D68E3"/>
    <w:rsid w:val="005E04F7"/>
    <w:rsid w:val="005E0A04"/>
    <w:rsid w:val="005E263E"/>
    <w:rsid w:val="005F3644"/>
    <w:rsid w:val="005F72C6"/>
    <w:rsid w:val="0060027E"/>
    <w:rsid w:val="0060047C"/>
    <w:rsid w:val="006015AF"/>
    <w:rsid w:val="00603923"/>
    <w:rsid w:val="00604BB9"/>
    <w:rsid w:val="00620160"/>
    <w:rsid w:val="00622830"/>
    <w:rsid w:val="00623068"/>
    <w:rsid w:val="00625019"/>
    <w:rsid w:val="006266B8"/>
    <w:rsid w:val="006312EA"/>
    <w:rsid w:val="0064120C"/>
    <w:rsid w:val="00656067"/>
    <w:rsid w:val="00657B64"/>
    <w:rsid w:val="00660DD2"/>
    <w:rsid w:val="006619FF"/>
    <w:rsid w:val="00661EDF"/>
    <w:rsid w:val="00662933"/>
    <w:rsid w:val="00665C8C"/>
    <w:rsid w:val="00665D09"/>
    <w:rsid w:val="0067038F"/>
    <w:rsid w:val="00671140"/>
    <w:rsid w:val="006717E0"/>
    <w:rsid w:val="006805A1"/>
    <w:rsid w:val="0068161C"/>
    <w:rsid w:val="00687E0A"/>
    <w:rsid w:val="00691F77"/>
    <w:rsid w:val="00693D0A"/>
    <w:rsid w:val="006946A3"/>
    <w:rsid w:val="00694F7C"/>
    <w:rsid w:val="0069571F"/>
    <w:rsid w:val="00697EDA"/>
    <w:rsid w:val="006A38F3"/>
    <w:rsid w:val="006B117E"/>
    <w:rsid w:val="006B651B"/>
    <w:rsid w:val="006C0514"/>
    <w:rsid w:val="006C165C"/>
    <w:rsid w:val="006C1ED6"/>
    <w:rsid w:val="006C5A96"/>
    <w:rsid w:val="006C6E18"/>
    <w:rsid w:val="006D26D8"/>
    <w:rsid w:val="006D2AA1"/>
    <w:rsid w:val="006D58C6"/>
    <w:rsid w:val="006D5D6C"/>
    <w:rsid w:val="006E176F"/>
    <w:rsid w:val="006E24E3"/>
    <w:rsid w:val="006E6914"/>
    <w:rsid w:val="006F125F"/>
    <w:rsid w:val="006F5E43"/>
    <w:rsid w:val="0070028C"/>
    <w:rsid w:val="007019BB"/>
    <w:rsid w:val="00705F22"/>
    <w:rsid w:val="00707C1D"/>
    <w:rsid w:val="00713563"/>
    <w:rsid w:val="0071356F"/>
    <w:rsid w:val="00713DA0"/>
    <w:rsid w:val="00713F4E"/>
    <w:rsid w:val="00716F62"/>
    <w:rsid w:val="00720DD7"/>
    <w:rsid w:val="00721F03"/>
    <w:rsid w:val="00722A89"/>
    <w:rsid w:val="00723E0F"/>
    <w:rsid w:val="00724819"/>
    <w:rsid w:val="007273E4"/>
    <w:rsid w:val="00733BFC"/>
    <w:rsid w:val="00733E2D"/>
    <w:rsid w:val="007348FE"/>
    <w:rsid w:val="00735B6D"/>
    <w:rsid w:val="00736C8B"/>
    <w:rsid w:val="00744AAB"/>
    <w:rsid w:val="00751ED2"/>
    <w:rsid w:val="0076127A"/>
    <w:rsid w:val="007635E9"/>
    <w:rsid w:val="007652E6"/>
    <w:rsid w:val="0077231D"/>
    <w:rsid w:val="007828F0"/>
    <w:rsid w:val="00784AFA"/>
    <w:rsid w:val="007856E2"/>
    <w:rsid w:val="0078689D"/>
    <w:rsid w:val="00791854"/>
    <w:rsid w:val="007A5CA3"/>
    <w:rsid w:val="007B3CC3"/>
    <w:rsid w:val="007B7809"/>
    <w:rsid w:val="007C147B"/>
    <w:rsid w:val="007C54F7"/>
    <w:rsid w:val="007D40AA"/>
    <w:rsid w:val="007D44BB"/>
    <w:rsid w:val="007D5117"/>
    <w:rsid w:val="007E08F6"/>
    <w:rsid w:val="007E3921"/>
    <w:rsid w:val="007E49A4"/>
    <w:rsid w:val="007F28EF"/>
    <w:rsid w:val="007F2E20"/>
    <w:rsid w:val="007F4F17"/>
    <w:rsid w:val="00800DDF"/>
    <w:rsid w:val="00801370"/>
    <w:rsid w:val="0080231F"/>
    <w:rsid w:val="008025A4"/>
    <w:rsid w:val="008142B1"/>
    <w:rsid w:val="00820769"/>
    <w:rsid w:val="00820E6B"/>
    <w:rsid w:val="008236FB"/>
    <w:rsid w:val="00824027"/>
    <w:rsid w:val="00825F8D"/>
    <w:rsid w:val="0083067A"/>
    <w:rsid w:val="0083558F"/>
    <w:rsid w:val="008363C3"/>
    <w:rsid w:val="00836755"/>
    <w:rsid w:val="00854DFB"/>
    <w:rsid w:val="008554E9"/>
    <w:rsid w:val="00855BBE"/>
    <w:rsid w:val="00861472"/>
    <w:rsid w:val="008630BA"/>
    <w:rsid w:val="008632B3"/>
    <w:rsid w:val="00863E37"/>
    <w:rsid w:val="00866385"/>
    <w:rsid w:val="008701A3"/>
    <w:rsid w:val="00871E46"/>
    <w:rsid w:val="00871F98"/>
    <w:rsid w:val="008724DC"/>
    <w:rsid w:val="008740F9"/>
    <w:rsid w:val="0087482B"/>
    <w:rsid w:val="00876A11"/>
    <w:rsid w:val="00881DF1"/>
    <w:rsid w:val="0088384D"/>
    <w:rsid w:val="00896702"/>
    <w:rsid w:val="00896FA7"/>
    <w:rsid w:val="0089773A"/>
    <w:rsid w:val="008A2B9B"/>
    <w:rsid w:val="008A4827"/>
    <w:rsid w:val="008A670E"/>
    <w:rsid w:val="008B4456"/>
    <w:rsid w:val="008B4C87"/>
    <w:rsid w:val="008B5814"/>
    <w:rsid w:val="008B7497"/>
    <w:rsid w:val="008B74FB"/>
    <w:rsid w:val="008B7CD6"/>
    <w:rsid w:val="008C2710"/>
    <w:rsid w:val="008C60B2"/>
    <w:rsid w:val="008D1B92"/>
    <w:rsid w:val="008D4707"/>
    <w:rsid w:val="008D7E6E"/>
    <w:rsid w:val="008E0740"/>
    <w:rsid w:val="008E08AD"/>
    <w:rsid w:val="008E0E8B"/>
    <w:rsid w:val="008E6888"/>
    <w:rsid w:val="008F25A2"/>
    <w:rsid w:val="008F3930"/>
    <w:rsid w:val="008F76B6"/>
    <w:rsid w:val="009000B3"/>
    <w:rsid w:val="00903A40"/>
    <w:rsid w:val="00903B86"/>
    <w:rsid w:val="00903D9E"/>
    <w:rsid w:val="009070B8"/>
    <w:rsid w:val="00915F4F"/>
    <w:rsid w:val="009268F3"/>
    <w:rsid w:val="00927731"/>
    <w:rsid w:val="00934719"/>
    <w:rsid w:val="009354E1"/>
    <w:rsid w:val="009447F4"/>
    <w:rsid w:val="00950054"/>
    <w:rsid w:val="0095251A"/>
    <w:rsid w:val="00956D57"/>
    <w:rsid w:val="0096239C"/>
    <w:rsid w:val="00964176"/>
    <w:rsid w:val="009652F3"/>
    <w:rsid w:val="009657DD"/>
    <w:rsid w:val="0097146A"/>
    <w:rsid w:val="00971AAA"/>
    <w:rsid w:val="0097283D"/>
    <w:rsid w:val="00973E0C"/>
    <w:rsid w:val="00987225"/>
    <w:rsid w:val="00993A1D"/>
    <w:rsid w:val="009951FF"/>
    <w:rsid w:val="009A0AEE"/>
    <w:rsid w:val="009A2397"/>
    <w:rsid w:val="009B0886"/>
    <w:rsid w:val="009B0E91"/>
    <w:rsid w:val="009C0AF3"/>
    <w:rsid w:val="009C7C47"/>
    <w:rsid w:val="009D00BD"/>
    <w:rsid w:val="009D24B5"/>
    <w:rsid w:val="009D295E"/>
    <w:rsid w:val="009D2AB9"/>
    <w:rsid w:val="009D34F6"/>
    <w:rsid w:val="009D3DD6"/>
    <w:rsid w:val="009D64E4"/>
    <w:rsid w:val="009D6DCB"/>
    <w:rsid w:val="009D733D"/>
    <w:rsid w:val="009E163A"/>
    <w:rsid w:val="009F2CF9"/>
    <w:rsid w:val="009F5BD0"/>
    <w:rsid w:val="009F5FA1"/>
    <w:rsid w:val="009F7299"/>
    <w:rsid w:val="00A02526"/>
    <w:rsid w:val="00A03683"/>
    <w:rsid w:val="00A03872"/>
    <w:rsid w:val="00A07454"/>
    <w:rsid w:val="00A146D8"/>
    <w:rsid w:val="00A1610A"/>
    <w:rsid w:val="00A25D47"/>
    <w:rsid w:val="00A2771C"/>
    <w:rsid w:val="00A30A84"/>
    <w:rsid w:val="00A33E48"/>
    <w:rsid w:val="00A34F94"/>
    <w:rsid w:val="00A36395"/>
    <w:rsid w:val="00A376FD"/>
    <w:rsid w:val="00A42610"/>
    <w:rsid w:val="00A4668A"/>
    <w:rsid w:val="00A51141"/>
    <w:rsid w:val="00A53555"/>
    <w:rsid w:val="00A550E4"/>
    <w:rsid w:val="00A56856"/>
    <w:rsid w:val="00A57747"/>
    <w:rsid w:val="00A60151"/>
    <w:rsid w:val="00A63033"/>
    <w:rsid w:val="00A63EC6"/>
    <w:rsid w:val="00A6423F"/>
    <w:rsid w:val="00A64EE7"/>
    <w:rsid w:val="00A66211"/>
    <w:rsid w:val="00A703B4"/>
    <w:rsid w:val="00A732AA"/>
    <w:rsid w:val="00A7385B"/>
    <w:rsid w:val="00A74150"/>
    <w:rsid w:val="00A81B8A"/>
    <w:rsid w:val="00A82B98"/>
    <w:rsid w:val="00A832F0"/>
    <w:rsid w:val="00A87FB0"/>
    <w:rsid w:val="00A90161"/>
    <w:rsid w:val="00A91126"/>
    <w:rsid w:val="00A9160A"/>
    <w:rsid w:val="00A928B4"/>
    <w:rsid w:val="00A92C98"/>
    <w:rsid w:val="00A95FD7"/>
    <w:rsid w:val="00A9679D"/>
    <w:rsid w:val="00A978DF"/>
    <w:rsid w:val="00AC5C07"/>
    <w:rsid w:val="00AD1403"/>
    <w:rsid w:val="00AD53CF"/>
    <w:rsid w:val="00AD7EE5"/>
    <w:rsid w:val="00AE01E5"/>
    <w:rsid w:val="00AE4026"/>
    <w:rsid w:val="00AE5319"/>
    <w:rsid w:val="00AE5A6D"/>
    <w:rsid w:val="00AE6ACD"/>
    <w:rsid w:val="00AF1704"/>
    <w:rsid w:val="00AF5739"/>
    <w:rsid w:val="00AF76AC"/>
    <w:rsid w:val="00AF7BF2"/>
    <w:rsid w:val="00B0096A"/>
    <w:rsid w:val="00B07124"/>
    <w:rsid w:val="00B072FB"/>
    <w:rsid w:val="00B20B87"/>
    <w:rsid w:val="00B22903"/>
    <w:rsid w:val="00B24425"/>
    <w:rsid w:val="00B25700"/>
    <w:rsid w:val="00B25937"/>
    <w:rsid w:val="00B26B84"/>
    <w:rsid w:val="00B4034C"/>
    <w:rsid w:val="00B457B9"/>
    <w:rsid w:val="00B5007B"/>
    <w:rsid w:val="00B5307C"/>
    <w:rsid w:val="00B55F80"/>
    <w:rsid w:val="00B57012"/>
    <w:rsid w:val="00B572A4"/>
    <w:rsid w:val="00B607EF"/>
    <w:rsid w:val="00B62E04"/>
    <w:rsid w:val="00B65BCE"/>
    <w:rsid w:val="00B7123B"/>
    <w:rsid w:val="00B712FC"/>
    <w:rsid w:val="00B71946"/>
    <w:rsid w:val="00B77911"/>
    <w:rsid w:val="00B83614"/>
    <w:rsid w:val="00B906FE"/>
    <w:rsid w:val="00B91248"/>
    <w:rsid w:val="00B960A2"/>
    <w:rsid w:val="00BA2C4D"/>
    <w:rsid w:val="00BA3A05"/>
    <w:rsid w:val="00BB1EE5"/>
    <w:rsid w:val="00BB22A9"/>
    <w:rsid w:val="00BC0999"/>
    <w:rsid w:val="00BC2859"/>
    <w:rsid w:val="00BC3D4D"/>
    <w:rsid w:val="00BD130D"/>
    <w:rsid w:val="00BD1C2A"/>
    <w:rsid w:val="00BD433F"/>
    <w:rsid w:val="00BD55F4"/>
    <w:rsid w:val="00BD59E3"/>
    <w:rsid w:val="00BE2C36"/>
    <w:rsid w:val="00BF5258"/>
    <w:rsid w:val="00BF71F4"/>
    <w:rsid w:val="00C00210"/>
    <w:rsid w:val="00C01CE8"/>
    <w:rsid w:val="00C01FBC"/>
    <w:rsid w:val="00C04C82"/>
    <w:rsid w:val="00C04CF8"/>
    <w:rsid w:val="00C06B45"/>
    <w:rsid w:val="00C1078F"/>
    <w:rsid w:val="00C12EF8"/>
    <w:rsid w:val="00C1422B"/>
    <w:rsid w:val="00C148F3"/>
    <w:rsid w:val="00C169F7"/>
    <w:rsid w:val="00C17D1A"/>
    <w:rsid w:val="00C24A31"/>
    <w:rsid w:val="00C24E70"/>
    <w:rsid w:val="00C34C1F"/>
    <w:rsid w:val="00C34CD1"/>
    <w:rsid w:val="00C40966"/>
    <w:rsid w:val="00C529D7"/>
    <w:rsid w:val="00C55305"/>
    <w:rsid w:val="00C63C1C"/>
    <w:rsid w:val="00C66B4B"/>
    <w:rsid w:val="00C736B8"/>
    <w:rsid w:val="00C84F51"/>
    <w:rsid w:val="00C85EC8"/>
    <w:rsid w:val="00C94922"/>
    <w:rsid w:val="00C95C8D"/>
    <w:rsid w:val="00C96D10"/>
    <w:rsid w:val="00C97CAD"/>
    <w:rsid w:val="00C97CF8"/>
    <w:rsid w:val="00CA0603"/>
    <w:rsid w:val="00CA0A95"/>
    <w:rsid w:val="00CA28F2"/>
    <w:rsid w:val="00CA42F7"/>
    <w:rsid w:val="00CA69A6"/>
    <w:rsid w:val="00CA6ABE"/>
    <w:rsid w:val="00CA7C39"/>
    <w:rsid w:val="00CA7D67"/>
    <w:rsid w:val="00CB0B7F"/>
    <w:rsid w:val="00CB1FD6"/>
    <w:rsid w:val="00CB283C"/>
    <w:rsid w:val="00CB4C11"/>
    <w:rsid w:val="00CB506D"/>
    <w:rsid w:val="00CB63A3"/>
    <w:rsid w:val="00CE34C7"/>
    <w:rsid w:val="00CF2CAA"/>
    <w:rsid w:val="00CF5C2A"/>
    <w:rsid w:val="00D02BE8"/>
    <w:rsid w:val="00D05F26"/>
    <w:rsid w:val="00D076B3"/>
    <w:rsid w:val="00D125DD"/>
    <w:rsid w:val="00D22F76"/>
    <w:rsid w:val="00D2330B"/>
    <w:rsid w:val="00D263DB"/>
    <w:rsid w:val="00D279BC"/>
    <w:rsid w:val="00D302E0"/>
    <w:rsid w:val="00D33289"/>
    <w:rsid w:val="00D34730"/>
    <w:rsid w:val="00D36D11"/>
    <w:rsid w:val="00D41036"/>
    <w:rsid w:val="00D53EBA"/>
    <w:rsid w:val="00D578BF"/>
    <w:rsid w:val="00D61CB8"/>
    <w:rsid w:val="00D62F24"/>
    <w:rsid w:val="00D749F0"/>
    <w:rsid w:val="00D762B2"/>
    <w:rsid w:val="00D7633A"/>
    <w:rsid w:val="00D80F91"/>
    <w:rsid w:val="00D852F9"/>
    <w:rsid w:val="00D869CF"/>
    <w:rsid w:val="00D87D34"/>
    <w:rsid w:val="00D92CFD"/>
    <w:rsid w:val="00D96535"/>
    <w:rsid w:val="00DA1BCF"/>
    <w:rsid w:val="00DA3880"/>
    <w:rsid w:val="00DA3A0E"/>
    <w:rsid w:val="00DA5D54"/>
    <w:rsid w:val="00DB2719"/>
    <w:rsid w:val="00DB562A"/>
    <w:rsid w:val="00DB7500"/>
    <w:rsid w:val="00DC0E17"/>
    <w:rsid w:val="00DC252B"/>
    <w:rsid w:val="00DC254C"/>
    <w:rsid w:val="00DC2918"/>
    <w:rsid w:val="00DC4C33"/>
    <w:rsid w:val="00DD1CBA"/>
    <w:rsid w:val="00DD73A8"/>
    <w:rsid w:val="00DE7753"/>
    <w:rsid w:val="00DE7D15"/>
    <w:rsid w:val="00DF1B47"/>
    <w:rsid w:val="00DF373B"/>
    <w:rsid w:val="00DF497B"/>
    <w:rsid w:val="00DF4F5D"/>
    <w:rsid w:val="00E04341"/>
    <w:rsid w:val="00E055E5"/>
    <w:rsid w:val="00E06C70"/>
    <w:rsid w:val="00E07FCB"/>
    <w:rsid w:val="00E12808"/>
    <w:rsid w:val="00E13F79"/>
    <w:rsid w:val="00E15F68"/>
    <w:rsid w:val="00E17AE1"/>
    <w:rsid w:val="00E329BF"/>
    <w:rsid w:val="00E43FBA"/>
    <w:rsid w:val="00E44887"/>
    <w:rsid w:val="00E6041B"/>
    <w:rsid w:val="00E81F42"/>
    <w:rsid w:val="00E84423"/>
    <w:rsid w:val="00E84B32"/>
    <w:rsid w:val="00E85BA4"/>
    <w:rsid w:val="00E9064D"/>
    <w:rsid w:val="00E92D2F"/>
    <w:rsid w:val="00E96555"/>
    <w:rsid w:val="00EA3FF9"/>
    <w:rsid w:val="00EA49D1"/>
    <w:rsid w:val="00EA73BF"/>
    <w:rsid w:val="00EB4549"/>
    <w:rsid w:val="00EB6AAE"/>
    <w:rsid w:val="00EC04B1"/>
    <w:rsid w:val="00EC1CFB"/>
    <w:rsid w:val="00EC4EB7"/>
    <w:rsid w:val="00ED258A"/>
    <w:rsid w:val="00ED3573"/>
    <w:rsid w:val="00ED482F"/>
    <w:rsid w:val="00ED67EA"/>
    <w:rsid w:val="00ED7B6F"/>
    <w:rsid w:val="00EE018E"/>
    <w:rsid w:val="00EE069E"/>
    <w:rsid w:val="00EF1979"/>
    <w:rsid w:val="00EF3312"/>
    <w:rsid w:val="00EF5C37"/>
    <w:rsid w:val="00F026F9"/>
    <w:rsid w:val="00F0702B"/>
    <w:rsid w:val="00F07C80"/>
    <w:rsid w:val="00F23E5F"/>
    <w:rsid w:val="00F24932"/>
    <w:rsid w:val="00F25EF1"/>
    <w:rsid w:val="00F332B5"/>
    <w:rsid w:val="00F361E6"/>
    <w:rsid w:val="00F406C3"/>
    <w:rsid w:val="00F415E2"/>
    <w:rsid w:val="00F431B1"/>
    <w:rsid w:val="00F43E0B"/>
    <w:rsid w:val="00F47D4A"/>
    <w:rsid w:val="00F52A3E"/>
    <w:rsid w:val="00F54B2F"/>
    <w:rsid w:val="00F55F15"/>
    <w:rsid w:val="00F6031F"/>
    <w:rsid w:val="00F73325"/>
    <w:rsid w:val="00F76F40"/>
    <w:rsid w:val="00F77E03"/>
    <w:rsid w:val="00F80143"/>
    <w:rsid w:val="00F82500"/>
    <w:rsid w:val="00F84A52"/>
    <w:rsid w:val="00F84ACC"/>
    <w:rsid w:val="00F92577"/>
    <w:rsid w:val="00F954B2"/>
    <w:rsid w:val="00F96524"/>
    <w:rsid w:val="00F97C17"/>
    <w:rsid w:val="00FA5886"/>
    <w:rsid w:val="00FA7569"/>
    <w:rsid w:val="00FB1579"/>
    <w:rsid w:val="00FB1F88"/>
    <w:rsid w:val="00FB4666"/>
    <w:rsid w:val="00FB75CE"/>
    <w:rsid w:val="00FC2B1C"/>
    <w:rsid w:val="00FC3495"/>
    <w:rsid w:val="00FC3919"/>
    <w:rsid w:val="00FC4727"/>
    <w:rsid w:val="00FC5FB8"/>
    <w:rsid w:val="00FD1248"/>
    <w:rsid w:val="00FD16C5"/>
    <w:rsid w:val="00FD27AE"/>
    <w:rsid w:val="00FD55E4"/>
    <w:rsid w:val="00FD5C64"/>
    <w:rsid w:val="00FD6263"/>
    <w:rsid w:val="00FD720A"/>
    <w:rsid w:val="00FD7A2C"/>
    <w:rsid w:val="00FE2121"/>
    <w:rsid w:val="00FE6A46"/>
    <w:rsid w:val="00FF399D"/>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
    <w:basedOn w:val="Normal"/>
    <w:next w:val="Normal"/>
    <w:link w:val="Heading1Char"/>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nhideWhenUsed/>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semiHidden/>
    <w:unhideWhenUsed/>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nhideWhenUsed/>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3A3"/>
    <w:rPr>
      <w:color w:val="0563C1" w:themeColor="hyperlink"/>
      <w:u w:val="single"/>
    </w:rPr>
  </w:style>
  <w:style w:type="character" w:customStyle="1" w:styleId="UnresolvedMention1">
    <w:name w:val="Unresolved Mention1"/>
    <w:basedOn w:val="DefaultParagraphFont"/>
    <w:uiPriority w:val="99"/>
    <w:semiHidden/>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basedOn w:val="Normal"/>
    <w:link w:val="HeaderChar"/>
    <w:uiPriority w:val="99"/>
    <w:unhideWhenUsed/>
    <w:rsid w:val="0011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97D"/>
  </w:style>
  <w:style w:type="paragraph" w:styleId="Footer">
    <w:name w:val="footer"/>
    <w:basedOn w:val="Normal"/>
    <w:link w:val="FooterChar"/>
    <w:uiPriority w:val="99"/>
    <w:unhideWhenUsed/>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uiPriority w:val="99"/>
    <w:unhideWhenUsed/>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
    <w:basedOn w:val="DefaultParagraphFont"/>
    <w:link w:val="Heading1"/>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
    <w:basedOn w:val="DefaultParagraphFont"/>
    <w:link w:val="NoSpacing"/>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semiHidden/>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semiHidden/>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nhideWhenUsed/>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iPriority w:val="99"/>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uiPriority w:val="99"/>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99"/>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99"/>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uiPriority w:val="99"/>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uiPriority w:val="39"/>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character" w:customStyle="1" w:styleId="longtext1">
    <w:name w:val="long_text1"/>
    <w:basedOn w:val="DefaultParagraphFont"/>
    <w:rsid w:val="003502CB"/>
    <w:rPr>
      <w:rFonts w:asciiTheme="majorBidi" w:hAnsiTheme="majorBidi" w:cstheme="majorBidi" w:hint="default"/>
      <w:sz w:val="24"/>
      <w:szCs w:val="24"/>
    </w:rPr>
  </w:style>
  <w:style w:type="character" w:customStyle="1" w:styleId="title-text">
    <w:name w:val="title-text"/>
    <w:basedOn w:val="DefaultParagraphFont"/>
    <w:rsid w:val="000B6048"/>
  </w:style>
  <w:style w:type="paragraph" w:styleId="BodyTextIndent3">
    <w:name w:val="Body Text Indent 3"/>
    <w:basedOn w:val="Normal"/>
    <w:link w:val="BodyTextIndent3Char"/>
    <w:uiPriority w:val="99"/>
    <w:semiHidden/>
    <w:unhideWhenUsed/>
    <w:rsid w:val="003666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6605"/>
    <w:rPr>
      <w:sz w:val="16"/>
      <w:szCs w:val="16"/>
    </w:rPr>
  </w:style>
  <w:style w:type="paragraph" w:customStyle="1" w:styleId="Char1">
    <w:name w:val="Char1"/>
    <w:basedOn w:val="Normal"/>
    <w:rsid w:val="00366605"/>
    <w:pPr>
      <w:spacing w:after="0" w:line="240" w:lineRule="auto"/>
    </w:pPr>
    <w:rPr>
      <w:rFonts w:ascii="Times New Roman" w:eastAsia="Times New Roman" w:hAnsi="Times New Roman" w:cs="Times New Roman"/>
      <w:sz w:val="24"/>
      <w:szCs w:val="24"/>
      <w:lang w:val="pl-PL" w:eastAsia="pl-PL"/>
    </w:rPr>
  </w:style>
  <w:style w:type="table" w:styleId="TableWeb2">
    <w:name w:val="Table Web 2"/>
    <w:basedOn w:val="TableNormal"/>
    <w:rsid w:val="00E6041B"/>
    <w:pPr>
      <w:spacing w:after="0" w:line="240" w:lineRule="auto"/>
    </w:pPr>
    <w:rPr>
      <w:rFonts w:ascii="Times New Roman" w:eastAsia="Times New Roman" w:hAnsi="Times New Roman" w:cs="Times New Roman"/>
      <w:sz w:val="20"/>
      <w:szCs w:val="20"/>
      <w:lang w:val="en-AU"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har2">
    <w:name w:val="Char"/>
    <w:basedOn w:val="Normal"/>
    <w:rsid w:val="00E6041B"/>
    <w:pPr>
      <w:spacing w:after="0" w:line="240" w:lineRule="auto"/>
    </w:pPr>
    <w:rPr>
      <w:rFonts w:ascii="Times New Roman" w:eastAsia="Times New Roman" w:hAnsi="Times New Roman" w:cs="Times New Roman"/>
      <w:sz w:val="24"/>
      <w:szCs w:val="24"/>
      <w:lang w:val="pl-PL" w:eastAsia="pl-PL"/>
    </w:rPr>
  </w:style>
  <w:style w:type="paragraph" w:customStyle="1" w:styleId="CM61">
    <w:name w:val="CM61"/>
    <w:basedOn w:val="Default"/>
    <w:next w:val="Default"/>
    <w:rsid w:val="004039CB"/>
    <w:pPr>
      <w:widowControl w:val="0"/>
    </w:pPr>
    <w:rPr>
      <w:rFonts w:ascii="CG Omega" w:eastAsia="CG Omega" w:hAnsi="Calibri" w:cs="CG Omega"/>
      <w:color w:val="auto"/>
      <w:lang w:eastAsia="zh-CN"/>
    </w:rPr>
  </w:style>
  <w:style w:type="paragraph" w:styleId="PlainText">
    <w:name w:val="Plain Text"/>
    <w:basedOn w:val="Normal"/>
    <w:link w:val="PlainTextChar"/>
    <w:rsid w:val="004F3CE7"/>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4F3CE7"/>
    <w:rPr>
      <w:rFonts w:ascii="Courier New" w:eastAsia="SimSun" w:hAnsi="Courier New" w:cs="Courier New"/>
      <w:sz w:val="20"/>
      <w:szCs w:val="20"/>
    </w:rPr>
  </w:style>
  <w:style w:type="paragraph" w:styleId="BodyTextIndent2">
    <w:name w:val="Body Text Indent 2"/>
    <w:basedOn w:val="Normal"/>
    <w:link w:val="BodyTextIndent2Char"/>
    <w:semiHidden/>
    <w:unhideWhenUsed/>
    <w:rsid w:val="004F3CE7"/>
    <w:pPr>
      <w:spacing w:after="120" w:line="480" w:lineRule="auto"/>
      <w:ind w:left="283"/>
    </w:pPr>
  </w:style>
  <w:style w:type="character" w:customStyle="1" w:styleId="BodyTextIndent2Char">
    <w:name w:val="Body Text Indent 2 Char"/>
    <w:basedOn w:val="DefaultParagraphFont"/>
    <w:link w:val="BodyTextIndent2"/>
    <w:semiHidden/>
    <w:rsid w:val="004F3CE7"/>
  </w:style>
  <w:style w:type="paragraph" w:styleId="BodyTextIndent">
    <w:name w:val="Body Text Indent"/>
    <w:basedOn w:val="Normal"/>
    <w:link w:val="BodyTextIndentChar"/>
    <w:semiHidden/>
    <w:rsid w:val="004F3CE7"/>
    <w:pPr>
      <w:spacing w:after="120" w:line="480" w:lineRule="auto"/>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semiHidden/>
    <w:rsid w:val="004F3CE7"/>
    <w:rPr>
      <w:rFonts w:ascii="Times New Roman" w:eastAsia="SimSun" w:hAnsi="Times New Roman" w:cs="Times New Roman"/>
      <w:sz w:val="24"/>
      <w:szCs w:val="24"/>
      <w:lang w:eastAsia="zh-CN"/>
    </w:rPr>
  </w:style>
  <w:style w:type="paragraph" w:styleId="BlockText">
    <w:name w:val="Block Text"/>
    <w:basedOn w:val="Normal"/>
    <w:semiHidden/>
    <w:rsid w:val="004F3CE7"/>
    <w:pPr>
      <w:spacing w:after="0" w:line="480" w:lineRule="auto"/>
      <w:ind w:left="576" w:right="-576"/>
      <w:jc w:val="both"/>
    </w:pPr>
    <w:rPr>
      <w:rFonts w:ascii="Times New Roman" w:eastAsia="SimSun" w:hAnsi="Times New Roman" w:cs="Times New Roman"/>
      <w:sz w:val="24"/>
      <w:szCs w:val="24"/>
    </w:rPr>
  </w:style>
  <w:style w:type="character" w:customStyle="1" w:styleId="style4">
    <w:name w:val="style4"/>
    <w:basedOn w:val="DefaultParagraphFont"/>
    <w:rsid w:val="004F3CE7"/>
  </w:style>
  <w:style w:type="character" w:customStyle="1" w:styleId="gbts">
    <w:name w:val="gbts"/>
    <w:basedOn w:val="DefaultParagraphFont"/>
    <w:rsid w:val="004F3CE7"/>
  </w:style>
  <w:style w:type="character" w:customStyle="1" w:styleId="gbit">
    <w:name w:val="gbit"/>
    <w:basedOn w:val="DefaultParagraphFont"/>
    <w:rsid w:val="004F3CE7"/>
  </w:style>
  <w:style w:type="character" w:customStyle="1" w:styleId="num-ratings">
    <w:name w:val="num-ratings"/>
    <w:basedOn w:val="DefaultParagraphFont"/>
    <w:rsid w:val="004F3CE7"/>
  </w:style>
  <w:style w:type="character" w:customStyle="1" w:styleId="count">
    <w:name w:val="count"/>
    <w:basedOn w:val="DefaultParagraphFont"/>
    <w:rsid w:val="004F3CE7"/>
  </w:style>
  <w:style w:type="character" w:customStyle="1" w:styleId="addmd">
    <w:name w:val="addmd"/>
    <w:basedOn w:val="DefaultParagraphFont"/>
    <w:rsid w:val="004F3CE7"/>
  </w:style>
  <w:style w:type="character" w:customStyle="1" w:styleId="mw-cite-backlink">
    <w:name w:val="mw-cite-backlink"/>
    <w:basedOn w:val="DefaultParagraphFont"/>
    <w:rsid w:val="004F3CE7"/>
  </w:style>
  <w:style w:type="character" w:customStyle="1" w:styleId="reference-text">
    <w:name w:val="reference-text"/>
    <w:basedOn w:val="DefaultParagraphFont"/>
    <w:rsid w:val="004F3CE7"/>
  </w:style>
  <w:style w:type="paragraph" w:styleId="BodyText3">
    <w:name w:val="Body Text 3"/>
    <w:basedOn w:val="Normal"/>
    <w:link w:val="BodyText3Char"/>
    <w:rsid w:val="004F3CE7"/>
    <w:pPr>
      <w:spacing w:after="120" w:line="276" w:lineRule="auto"/>
    </w:pPr>
    <w:rPr>
      <w:rFonts w:ascii="Calibri" w:eastAsia="SimSun" w:hAnsi="Calibri" w:cs="Calibri"/>
      <w:sz w:val="16"/>
      <w:szCs w:val="16"/>
      <w:lang w:val="en-MY" w:eastAsia="en-MY"/>
    </w:rPr>
  </w:style>
  <w:style w:type="character" w:customStyle="1" w:styleId="BodyText3Char">
    <w:name w:val="Body Text 3 Char"/>
    <w:basedOn w:val="DefaultParagraphFont"/>
    <w:link w:val="BodyText3"/>
    <w:rsid w:val="004F3CE7"/>
    <w:rPr>
      <w:rFonts w:ascii="Calibri" w:eastAsia="SimSun" w:hAnsi="Calibri" w:cs="Calibri"/>
      <w:sz w:val="16"/>
      <w:szCs w:val="16"/>
      <w:lang w:val="en-MY" w:eastAsia="en-MY"/>
    </w:rPr>
  </w:style>
  <w:style w:type="character" w:styleId="HTMLCite">
    <w:name w:val="HTML Cite"/>
    <w:basedOn w:val="DefaultParagraphFont"/>
    <w:semiHidden/>
    <w:rsid w:val="004F3CE7"/>
    <w:rPr>
      <w:i/>
      <w:iCs/>
    </w:rPr>
  </w:style>
  <w:style w:type="paragraph" w:customStyle="1" w:styleId="Heading11">
    <w:name w:val="Heading 11"/>
    <w:basedOn w:val="Normal"/>
    <w:link w:val="HEADING1Char0"/>
    <w:qFormat/>
    <w:rsid w:val="008C2710"/>
    <w:pPr>
      <w:spacing w:after="0" w:line="240" w:lineRule="auto"/>
      <w:jc w:val="center"/>
    </w:pPr>
    <w:rPr>
      <w:rFonts w:ascii="Roboto" w:hAnsi="Roboto" w:cs="Calibri"/>
      <w:b/>
      <w:bCs/>
      <w:iCs/>
      <w:sz w:val="40"/>
      <w:szCs w:val="24"/>
      <w:lang w:bidi="en-US"/>
    </w:rPr>
  </w:style>
  <w:style w:type="paragraph" w:customStyle="1" w:styleId="AUTHORSNAME">
    <w:name w:val="AUTHORS NAME"/>
    <w:basedOn w:val="Normal"/>
    <w:link w:val="AUTHORSNAMEChar"/>
    <w:qFormat/>
    <w:rsid w:val="008C2710"/>
    <w:pPr>
      <w:spacing w:after="0" w:line="240" w:lineRule="auto"/>
      <w:jc w:val="center"/>
    </w:pPr>
    <w:rPr>
      <w:rFonts w:ascii="Arial" w:hAnsi="Arial" w:cs="Calibri"/>
      <w:iCs/>
      <w:sz w:val="32"/>
      <w:szCs w:val="24"/>
      <w:lang w:val="it-IT" w:bidi="en-US"/>
    </w:rPr>
  </w:style>
  <w:style w:type="character" w:customStyle="1" w:styleId="HEADING1Char0">
    <w:name w:val="HEADING 1 Char"/>
    <w:basedOn w:val="DefaultParagraphFont"/>
    <w:link w:val="Heading11"/>
    <w:rsid w:val="008C2710"/>
    <w:rPr>
      <w:rFonts w:ascii="Roboto" w:hAnsi="Roboto" w:cs="Calibri"/>
      <w:b/>
      <w:bCs/>
      <w:iCs/>
      <w:sz w:val="40"/>
      <w:szCs w:val="24"/>
      <w:lang w:bidi="en-US"/>
    </w:rPr>
  </w:style>
  <w:style w:type="paragraph" w:customStyle="1" w:styleId="AFFILIATION">
    <w:name w:val="AFFILIATION"/>
    <w:basedOn w:val="Normal"/>
    <w:link w:val="AFFILIATIONChar"/>
    <w:qFormat/>
    <w:rsid w:val="008C2710"/>
    <w:pPr>
      <w:spacing w:after="0" w:line="360" w:lineRule="auto"/>
      <w:jc w:val="center"/>
    </w:pPr>
    <w:rPr>
      <w:rFonts w:ascii="Calibri" w:hAnsi="Calibri" w:cs="Calibri"/>
      <w:bCs/>
      <w:iCs/>
      <w:sz w:val="24"/>
      <w:szCs w:val="24"/>
      <w:vertAlign w:val="superscript"/>
      <w:lang w:bidi="en-US"/>
    </w:rPr>
  </w:style>
  <w:style w:type="character" w:customStyle="1" w:styleId="AUTHORSNAMEChar">
    <w:name w:val="AUTHORS NAME Char"/>
    <w:basedOn w:val="DefaultParagraphFont"/>
    <w:link w:val="AUTHORSNAME"/>
    <w:rsid w:val="008C2710"/>
    <w:rPr>
      <w:rFonts w:ascii="Arial" w:hAnsi="Arial" w:cs="Calibri"/>
      <w:iCs/>
      <w:sz w:val="32"/>
      <w:szCs w:val="24"/>
      <w:lang w:val="it-IT" w:bidi="en-US"/>
    </w:rPr>
  </w:style>
  <w:style w:type="character" w:customStyle="1" w:styleId="AFFILIATIONChar">
    <w:name w:val="AFFILIATION Char"/>
    <w:basedOn w:val="DefaultParagraphFont"/>
    <w:link w:val="AFFILIATION"/>
    <w:rsid w:val="008C2710"/>
    <w:rPr>
      <w:rFonts w:ascii="Calibri" w:hAnsi="Calibri" w:cs="Calibri"/>
      <w:bCs/>
      <w:iCs/>
      <w:sz w:val="24"/>
      <w:szCs w:val="24"/>
      <w:vertAlign w:val="superscript"/>
      <w:lang w:bidi="en-US"/>
    </w:rPr>
  </w:style>
  <w:style w:type="paragraph" w:customStyle="1" w:styleId="aaa">
    <w:name w:val="aaa"/>
    <w:basedOn w:val="Normal"/>
    <w:rsid w:val="004528B5"/>
    <w:pPr>
      <w:widowControl w:val="0"/>
      <w:spacing w:after="177" w:line="360" w:lineRule="auto"/>
      <w:ind w:firstLineChars="200" w:firstLine="450"/>
    </w:pPr>
    <w:rPr>
      <w:rFonts w:ascii="Times New Roman" w:eastAsia="DFKai-SB" w:hAnsi="Times New Roman" w:cs="PMingLiU"/>
      <w:kern w:val="2"/>
      <w:sz w:val="24"/>
      <w:szCs w:val="20"/>
      <w:lang w:eastAsia="zh-TW"/>
    </w:rPr>
  </w:style>
  <w:style w:type="character" w:customStyle="1" w:styleId="st1">
    <w:name w:val="st1"/>
    <w:basedOn w:val="DefaultParagraphFont"/>
    <w:rsid w:val="004528B5"/>
  </w:style>
  <w:style w:type="character" w:styleId="SubtleEmphasis">
    <w:name w:val="Subtle Emphasis"/>
    <w:basedOn w:val="DefaultParagraphFont"/>
    <w:uiPriority w:val="19"/>
    <w:qFormat/>
    <w:rsid w:val="004528B5"/>
    <w:rPr>
      <w:i/>
      <w:iCs/>
      <w:color w:val="808080"/>
    </w:rPr>
  </w:style>
  <w:style w:type="table" w:styleId="MediumShading1-Accent3">
    <w:name w:val="Medium Shading 1 Accent 3"/>
    <w:basedOn w:val="TableNormal"/>
    <w:uiPriority w:val="63"/>
    <w:rsid w:val="004528B5"/>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st">
    <w:name w:val="st"/>
    <w:basedOn w:val="DefaultParagraphFont"/>
    <w:rsid w:val="0045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89090018">
      <w:bodyDiv w:val="1"/>
      <w:marLeft w:val="0"/>
      <w:marRight w:val="0"/>
      <w:marTop w:val="0"/>
      <w:marBottom w:val="0"/>
      <w:divBdr>
        <w:top w:val="none" w:sz="0" w:space="0" w:color="auto"/>
        <w:left w:val="none" w:sz="0" w:space="0" w:color="auto"/>
        <w:bottom w:val="none" w:sz="0" w:space="0" w:color="auto"/>
        <w:right w:val="none" w:sz="0" w:space="0" w:color="auto"/>
      </w:divBdr>
    </w:div>
    <w:div w:id="1252155968">
      <w:bodyDiv w:val="1"/>
      <w:marLeft w:val="0"/>
      <w:marRight w:val="0"/>
      <w:marTop w:val="0"/>
      <w:marBottom w:val="0"/>
      <w:divBdr>
        <w:top w:val="none" w:sz="0" w:space="0" w:color="auto"/>
        <w:left w:val="none" w:sz="0" w:space="0" w:color="auto"/>
        <w:bottom w:val="none" w:sz="0" w:space="0" w:color="auto"/>
        <w:right w:val="none" w:sz="0" w:space="0" w:color="auto"/>
      </w:divBdr>
    </w:div>
    <w:div w:id="1342661769">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854762626">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rmars.com/index.php/pages/detail/IJARAFMS" TargetMode="External"/><Relationship Id="rId4" Type="http://schemas.openxmlformats.org/officeDocument/2006/relationships/settings" Target="settings.xml"/><Relationship Id="rId9" Type="http://schemas.openxmlformats.org/officeDocument/2006/relationships/hyperlink" Target="http://creativecommons.org/licences/by/4.0/legalc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1</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2</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3</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4</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5</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6</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2</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22</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4</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5</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6</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7</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8</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9</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10</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11</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12</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13</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14</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15</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17</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18</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16</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19</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20</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21</b:RefOrder>
  </b:Source>
</b:Sources>
</file>

<file path=customXml/itemProps1.xml><?xml version="1.0" encoding="utf-8"?>
<ds:datastoreItem xmlns:ds="http://schemas.openxmlformats.org/officeDocument/2006/customXml" ds:itemID="{277A0408-7D50-44C7-8353-576880C7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5851</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HP</cp:lastModifiedBy>
  <cp:revision>12</cp:revision>
  <cp:lastPrinted>2022-07-05T11:33:00Z</cp:lastPrinted>
  <dcterms:created xsi:type="dcterms:W3CDTF">2022-06-02T07:43:00Z</dcterms:created>
  <dcterms:modified xsi:type="dcterms:W3CDTF">2022-07-05T11:34:00Z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